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00" w:lineRule="auto"/>
        <w:ind w:left="0"/>
        <w:textAlignment w:val="auto"/>
        <w:rPr>
          <w:rFonts w:hint="eastAsia" w:ascii="宋体" w:hAnsi="宋体" w:eastAsia="宋体" w:cs="宋体"/>
          <w:b w:val="0"/>
          <w:bCs w:val="0"/>
          <w:color w:val="auto"/>
          <w:kern w:val="0"/>
          <w:sz w:val="28"/>
          <w:szCs w:val="28"/>
          <w:shd w:val="clear" w:color="auto" w:fill="FFFFFF"/>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157" w:beforeLines="50" w:line="0" w:lineRule="atLeast"/>
        <w:ind w:left="0"/>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rPr>
      </w:pPr>
      <w:bookmarkStart w:id="0" w:name="_GoBack"/>
      <w:r>
        <w:rPr>
          <w:rFonts w:hint="eastAsia" w:ascii="方正小标宋简体" w:hAnsi="方正小标宋简体" w:eastAsia="方正小标宋简体" w:cs="方正小标宋简体"/>
          <w:b w:val="0"/>
          <w:bCs w:val="0"/>
          <w:color w:val="auto"/>
          <w:kern w:val="0"/>
          <w:sz w:val="44"/>
          <w:szCs w:val="44"/>
          <w:shd w:val="clear" w:color="auto" w:fill="FFFFFF"/>
        </w:rPr>
        <w:t>福州市鼓楼生态环境局</w:t>
      </w:r>
    </w:p>
    <w:p>
      <w:pPr>
        <w:keepNext w:val="0"/>
        <w:keepLines w:val="0"/>
        <w:pageBreakBefore w:val="0"/>
        <w:widowControl w:val="0"/>
        <w:kinsoku/>
        <w:wordWrap/>
        <w:overflowPunct/>
        <w:topLinePunct w:val="0"/>
        <w:autoSpaceDE/>
        <w:autoSpaceDN/>
        <w:bidi w:val="0"/>
        <w:adjustRightInd/>
        <w:snapToGrid/>
        <w:spacing w:after="157" w:afterLines="50" w:line="0" w:lineRule="atLeast"/>
        <w:ind w:left="0"/>
        <w:jc w:val="center"/>
        <w:textAlignment w:val="auto"/>
        <w:outlineLvl w:val="9"/>
        <w:rPr>
          <w:rFonts w:hint="eastAsia" w:ascii="宋体" w:hAnsi="宋体" w:eastAsia="宋体" w:cs="宋体"/>
          <w:b w:val="0"/>
          <w:bCs w:val="0"/>
          <w:color w:val="auto"/>
          <w:kern w:val="0"/>
          <w:sz w:val="28"/>
          <w:szCs w:val="28"/>
        </w:rPr>
      </w:pPr>
      <w:r>
        <w:rPr>
          <w:rFonts w:hint="eastAsia" w:ascii="方正小标宋简体" w:hAnsi="方正小标宋简体" w:eastAsia="方正小标宋简体" w:cs="方正小标宋简体"/>
          <w:b w:val="0"/>
          <w:bCs w:val="0"/>
          <w:color w:val="auto"/>
          <w:kern w:val="0"/>
          <w:sz w:val="44"/>
          <w:szCs w:val="44"/>
        </w:rPr>
        <w:t>202</w:t>
      </w:r>
      <w:r>
        <w:rPr>
          <w:rFonts w:hint="eastAsia" w:ascii="方正小标宋简体" w:hAnsi="方正小标宋简体" w:eastAsia="方正小标宋简体" w:cs="方正小标宋简体"/>
          <w:b w:val="0"/>
          <w:bCs w:val="0"/>
          <w:color w:val="auto"/>
          <w:kern w:val="0"/>
          <w:sz w:val="44"/>
          <w:szCs w:val="44"/>
          <w:lang w:val="en-US" w:eastAsia="zh-CN"/>
        </w:rPr>
        <w:t>2</w:t>
      </w:r>
      <w:r>
        <w:rPr>
          <w:rFonts w:hint="eastAsia" w:ascii="方正小标宋简体" w:hAnsi="方正小标宋简体" w:eastAsia="方正小标宋简体" w:cs="方正小标宋简体"/>
          <w:b w:val="0"/>
          <w:bCs w:val="0"/>
          <w:color w:val="auto"/>
          <w:kern w:val="0"/>
          <w:sz w:val="44"/>
          <w:szCs w:val="44"/>
        </w:rPr>
        <w:t>年度拟购执法装备一览表</w:t>
      </w:r>
      <w:bookmarkEnd w:id="0"/>
    </w:p>
    <w:tbl>
      <w:tblPr>
        <w:tblStyle w:val="3"/>
        <w:tblW w:w="10076" w:type="dxa"/>
        <w:jc w:val="center"/>
        <w:tblInd w:w="-1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1"/>
        <w:gridCol w:w="2350"/>
        <w:gridCol w:w="1267"/>
        <w:gridCol w:w="5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41"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序号</w:t>
            </w:r>
          </w:p>
        </w:tc>
        <w:tc>
          <w:tcPr>
            <w:tcW w:w="235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仪器设备名称</w:t>
            </w:r>
          </w:p>
        </w:tc>
        <w:tc>
          <w:tcPr>
            <w:tcW w:w="1267"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数量</w:t>
            </w:r>
          </w:p>
        </w:tc>
        <w:tc>
          <w:tcPr>
            <w:tcW w:w="551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jc w:val="center"/>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941"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0"/>
              <w:jc w:val="center"/>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1</w:t>
            </w:r>
          </w:p>
        </w:tc>
        <w:tc>
          <w:tcPr>
            <w:tcW w:w="235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0"/>
              <w:jc w:val="center"/>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color w:val="000000"/>
                <w:kern w:val="0"/>
                <w:sz w:val="32"/>
                <w:szCs w:val="32"/>
              </w:rPr>
              <w:t>个人防护包（强光手电筒、安全帽、有毒有害物质防护服、防辐射设备、护目镜、防护鞋等）</w:t>
            </w:r>
          </w:p>
        </w:tc>
        <w:tc>
          <w:tcPr>
            <w:tcW w:w="1267"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0"/>
              <w:jc w:val="center"/>
              <w:textAlignment w:val="auto"/>
              <w:outlineLvl w:val="9"/>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val="en-US" w:eastAsia="zh-CN"/>
              </w:rPr>
              <w:t>14</w:t>
            </w:r>
          </w:p>
        </w:tc>
        <w:tc>
          <w:tcPr>
            <w:tcW w:w="5518" w:type="dxa"/>
            <w:tcMar>
              <w:top w:w="0" w:type="dxa"/>
              <w:left w:w="108" w:type="dxa"/>
              <w:bottom w:w="0" w:type="dxa"/>
              <w:right w:w="108"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0" w:lineRule="atLeast"/>
              <w:ind w:left="0"/>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强光手电筒：手持式强流明手电，碱性电池及充电皆满足</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0" w:lineRule="atLeast"/>
              <w:ind w:left="0" w:leftChars="0" w:firstLine="0" w:firstLineChars="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安全帽：执行GB 2811-2019标准。</w:t>
            </w:r>
          </w:p>
          <w:p>
            <w:pPr>
              <w:keepNext w:val="0"/>
              <w:keepLines w:val="0"/>
              <w:pageBreakBefore w:val="0"/>
              <w:widowControl/>
              <w:numPr>
                <w:ilvl w:val="0"/>
                <w:numId w:val="1"/>
              </w:numPr>
              <w:kinsoku/>
              <w:wordWrap/>
              <w:overflowPunct/>
              <w:topLinePunct w:val="0"/>
              <w:autoSpaceDE/>
              <w:autoSpaceDN/>
              <w:bidi w:val="0"/>
              <w:adjustRightInd/>
              <w:snapToGrid/>
              <w:spacing w:line="0" w:lineRule="atLeast"/>
              <w:ind w:left="0" w:leftChars="0" w:firstLine="0" w:firstLineChars="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有毒有害物质防护服：带头罩的连体式防化服，液密型防喷溅防护服主要针对最细微的颗粒和粉尘以及众多浓缩无机酸碱溶液提供可靠的防护，抵御各种有机液体化学品的侵害。</w:t>
            </w:r>
          </w:p>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Chars="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4、防辐射设备：用于X、γ射线和硬β射线的辐射防护报警；</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5、护目镜：间接通风口设计；防化学，防冲击；</w:t>
            </w:r>
          </w:p>
          <w:p>
            <w:pPr>
              <w:keepNext w:val="0"/>
              <w:keepLines w:val="0"/>
              <w:pageBreakBefore w:val="0"/>
              <w:widowControl/>
              <w:numPr>
                <w:ilvl w:val="0"/>
                <w:numId w:val="0"/>
              </w:numPr>
              <w:kinsoku/>
              <w:wordWrap/>
              <w:overflowPunct/>
              <w:topLinePunct w:val="0"/>
              <w:autoSpaceDE/>
              <w:autoSpaceDN/>
              <w:bidi w:val="0"/>
              <w:adjustRightInd/>
              <w:snapToGrid/>
              <w:spacing w:line="0" w:lineRule="atLeas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6、防护鞋：具备防砸、防穿刺、电绝缘、防滑等性能，鞋码可选。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1" w:hRule="atLeast"/>
          <w:jc w:val="center"/>
        </w:trPr>
        <w:tc>
          <w:tcPr>
            <w:tcW w:w="941"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0"/>
              <w:jc w:val="center"/>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2</w:t>
            </w:r>
          </w:p>
        </w:tc>
        <w:tc>
          <w:tcPr>
            <w:tcW w:w="2350" w:type="dxa"/>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color w:val="000000"/>
                <w:kern w:val="0"/>
                <w:sz w:val="32"/>
                <w:szCs w:val="32"/>
              </w:rPr>
              <w:t>便携式</w:t>
            </w:r>
            <w:r>
              <w:rPr>
                <w:rFonts w:hint="eastAsia" w:ascii="仿宋_GB2312" w:hAnsi="仿宋_GB2312" w:eastAsia="仿宋_GB2312" w:cs="仿宋_GB2312"/>
                <w:color w:val="000000"/>
                <w:kern w:val="0"/>
                <w:sz w:val="32"/>
                <w:szCs w:val="32"/>
                <w:lang w:val="en-US" w:eastAsia="zh-CN"/>
              </w:rPr>
              <w:t>油气回收检测仪</w:t>
            </w:r>
          </w:p>
        </w:tc>
        <w:tc>
          <w:tcPr>
            <w:tcW w:w="1267"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ind w:left="0"/>
              <w:jc w:val="center"/>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3</w:t>
            </w:r>
          </w:p>
        </w:tc>
        <w:tc>
          <w:tcPr>
            <w:tcW w:w="5518" w:type="dxa"/>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ind w:leftChars="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000000"/>
                <w:kern w:val="0"/>
                <w:sz w:val="32"/>
                <w:szCs w:val="32"/>
                <w:lang w:val="en-US" w:eastAsia="zh-CN"/>
              </w:rPr>
              <w:t>符合 GB3836.1-2010《爆炸性环境第 1 部分：设备通用要求》和 GB3836.4-2010《爆炸性环境第 4 部分：由本质安全型“i”保护的设备》标准， 适用于 1 区、2 区，ⅡA～ⅡB 级别，T1～T3 组爆炸性⽓体混合物场所，防爆标志 Ex ib ⅡB T3 Gb。满足检测加油机气液比、液阻、密封性等三项指标的检测技术要求</w:t>
            </w:r>
          </w:p>
        </w:tc>
      </w:tr>
    </w:tbl>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3170"/>
    <w:multiLevelType w:val="singleLevel"/>
    <w:tmpl w:val="1AB0317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2483A"/>
    <w:rsid w:val="1A924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2022-06-10T02:30:00Z</dcterms:created>
  <dc:creator>Administrator</dc:creator>
  <cp:lastModifiedBy>Administrator</cp:lastModifiedBy>
  <dcterms:modified xsi:type="dcterms:W3CDTF">2022-06-10T02:36:02Z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