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6"/>
          <w:rFonts w:ascii="宋体" w:hAnsi="宋体" w:eastAsia="宋体" w:cs="宋体"/>
          <w:b/>
          <w:i w:val="0"/>
          <w:caps w:val="0"/>
          <w:color w:val="auto"/>
          <w:spacing w:val="0"/>
          <w:sz w:val="72"/>
          <w:szCs w:val="72"/>
          <w:shd w:val="clear" w:fill="FFFFFF"/>
        </w:rPr>
        <w:t>福建省政府采购</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72"/>
          <w:szCs w:val="72"/>
          <w:shd w:val="clear" w:fill="FFFFFF"/>
        </w:rPr>
        <w:t>货物和服务项目</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72"/>
          <w:szCs w:val="72"/>
          <w:shd w:val="clear" w:fill="FFFFFF"/>
        </w:rPr>
        <w:t>公开招标文件</w:t>
      </w:r>
    </w:p>
    <w:p>
      <w:pPr>
        <w:pStyle w:val="4"/>
        <w:keepNext w:val="0"/>
        <w:keepLines w:val="0"/>
        <w:widowControl/>
        <w:suppressLineNumbers w:val="0"/>
        <w:shd w:val="clear" w:fill="FFFFFF"/>
        <w:spacing w:before="75" w:beforeAutospacing="0" w:after="75" w:afterAutospacing="0"/>
        <w:ind w:left="0" w:right="0" w:firstLine="0"/>
        <w:rPr>
          <w:rStyle w:val="6"/>
          <w:rFonts w:hint="eastAsia" w:ascii="宋体" w:hAnsi="宋体" w:eastAsia="宋体" w:cs="宋体"/>
          <w:b/>
          <w:i w:val="0"/>
          <w:caps w:val="0"/>
          <w:color w:val="auto"/>
          <w:spacing w:val="0"/>
          <w:sz w:val="72"/>
          <w:szCs w:val="72"/>
          <w:shd w:val="clear" w:fill="FFFFFF"/>
        </w:rPr>
      </w:pPr>
      <w:r>
        <w:rPr>
          <w:rStyle w:val="6"/>
          <w:rFonts w:hint="eastAsia" w:ascii="宋体" w:hAnsi="宋体" w:eastAsia="宋体" w:cs="宋体"/>
          <w:b/>
          <w:i w:val="0"/>
          <w:caps w:val="0"/>
          <w:color w:val="auto"/>
          <w:spacing w:val="0"/>
          <w:sz w:val="72"/>
          <w:szCs w:val="72"/>
          <w:shd w:val="clear" w:fill="FFFFFF"/>
        </w:rPr>
        <w:t>     </w:t>
      </w:r>
    </w:p>
    <w:p>
      <w:pPr>
        <w:pStyle w:val="4"/>
        <w:keepNext w:val="0"/>
        <w:keepLines w:val="0"/>
        <w:widowControl/>
        <w:suppressLineNumbers w:val="0"/>
        <w:shd w:val="clear" w:fill="FFFFFF"/>
        <w:spacing w:before="75" w:beforeAutospacing="0" w:after="75" w:afterAutospacing="0"/>
        <w:ind w:left="0" w:right="0" w:firstLine="0"/>
        <w:rPr>
          <w:rStyle w:val="6"/>
          <w:rFonts w:hint="eastAsia" w:ascii="宋体" w:hAnsi="宋体" w:eastAsia="宋体" w:cs="宋体"/>
          <w:b/>
          <w:i w:val="0"/>
          <w:caps w:val="0"/>
          <w:color w:val="auto"/>
          <w:spacing w:val="0"/>
          <w:sz w:val="72"/>
          <w:szCs w:val="72"/>
          <w:shd w:val="clear" w:fill="FFFFFF"/>
        </w:rPr>
      </w:pPr>
    </w:p>
    <w:p>
      <w:pPr>
        <w:pStyle w:val="4"/>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30"/>
          <w:szCs w:val="30"/>
          <w:shd w:val="clear" w:fill="FFFFFF"/>
        </w:rPr>
        <w:t>  项目名称：福州市鼓楼区建设投资管理中心福州左海公园-金牛山城市森林步道第3标段（智能化系统）采购项目</w:t>
      </w:r>
    </w:p>
    <w:p>
      <w:pPr>
        <w:pStyle w:val="4"/>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30"/>
          <w:szCs w:val="30"/>
          <w:shd w:val="clear" w:fill="FFFFFF"/>
        </w:rPr>
        <w:t>  备案编号：A1-JSTZGLZX-GK-201810-B1756-IDN</w:t>
      </w:r>
    </w:p>
    <w:p>
      <w:pPr>
        <w:pStyle w:val="4"/>
        <w:keepNext w:val="0"/>
        <w:keepLines w:val="0"/>
        <w:widowControl/>
        <w:suppressLineNumbers w:val="0"/>
        <w:shd w:val="clear" w:fill="FFFFFF"/>
        <w:spacing w:before="75" w:beforeAutospacing="0" w:after="75" w:afterAutospacing="0"/>
        <w:ind w:left="0" w:right="0" w:firstLine="1050"/>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30"/>
          <w:szCs w:val="30"/>
          <w:shd w:val="clear" w:fill="FFFFFF"/>
        </w:rPr>
        <w:t>  招标编号：[350102]HY[GK]2018038</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28"/>
          <w:szCs w:val="28"/>
          <w:shd w:val="clear" w:fill="FFFFFF"/>
        </w:rPr>
        <w:t> </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r>
        <w:rPr>
          <w:rStyle w:val="6"/>
          <w:rFonts w:hint="eastAsia" w:ascii="宋体" w:hAnsi="宋体" w:eastAsia="宋体" w:cs="宋体"/>
          <w:b/>
          <w:i w:val="0"/>
          <w:caps w:val="0"/>
          <w:color w:val="auto"/>
          <w:spacing w:val="0"/>
          <w:sz w:val="27"/>
          <w:szCs w:val="27"/>
          <w:shd w:val="clear" w:fill="FFFFFF"/>
        </w:rPr>
        <w:t>采购人：</w:t>
      </w:r>
      <w:r>
        <w:rPr>
          <w:rFonts w:hint="eastAsia" w:ascii="微软雅黑" w:hAnsi="微软雅黑" w:eastAsia="微软雅黑" w:cs="微软雅黑"/>
          <w:i w:val="0"/>
          <w:caps w:val="0"/>
          <w:color w:val="auto"/>
          <w:spacing w:val="0"/>
          <w:sz w:val="27"/>
          <w:szCs w:val="27"/>
          <w:shd w:val="clear" w:fill="FFFFFF"/>
        </w:rPr>
        <w:t> </w:t>
      </w:r>
      <w:r>
        <w:rPr>
          <w:rStyle w:val="6"/>
          <w:rFonts w:hint="eastAsia" w:ascii="宋体" w:hAnsi="宋体" w:eastAsia="宋体" w:cs="宋体"/>
          <w:b/>
          <w:i w:val="0"/>
          <w:caps w:val="0"/>
          <w:color w:val="auto"/>
          <w:spacing w:val="0"/>
          <w:sz w:val="28"/>
          <w:szCs w:val="28"/>
          <w:shd w:val="clear" w:fill="FFFFFF"/>
        </w:rPr>
        <w:t>福州市鼓楼区建设投资管理中心</w:t>
      </w:r>
    </w:p>
    <w:p>
      <w:pPr>
        <w:pStyle w:val="4"/>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28"/>
          <w:szCs w:val="28"/>
          <w:shd w:val="clear" w:fill="FFFFFF"/>
        </w:rPr>
        <w:t>代理机构：福建宏友招标有限公司</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auto"/>
          <w:spacing w:val="0"/>
          <w:sz w:val="19"/>
          <w:szCs w:val="19"/>
        </w:rPr>
      </w:pPr>
      <w:r>
        <w:rPr>
          <w:rStyle w:val="6"/>
          <w:rFonts w:hint="eastAsia" w:ascii="宋体" w:hAnsi="宋体" w:eastAsia="宋体" w:cs="宋体"/>
          <w:b/>
          <w:i w:val="0"/>
          <w:caps w:val="0"/>
          <w:color w:val="auto"/>
          <w:spacing w:val="0"/>
          <w:sz w:val="28"/>
          <w:szCs w:val="28"/>
          <w:shd w:val="clear" w:fill="FFFFFF"/>
        </w:rPr>
        <w:t>2018年11月</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4"/>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第一章</w:t>
      </w:r>
      <w:r>
        <w:rPr>
          <w:rStyle w:val="6"/>
          <w:b/>
          <w:color w:val="auto"/>
          <w:spacing w:val="0"/>
          <w:sz w:val="31"/>
          <w:szCs w:val="31"/>
        </w:rPr>
        <w:t>   </w:t>
      </w:r>
      <w:r>
        <w:rPr>
          <w:rStyle w:val="6"/>
          <w:rFonts w:hint="eastAsia" w:ascii="宋体" w:hAnsi="宋体" w:eastAsia="宋体" w:cs="宋体"/>
          <w:b/>
          <w:color w:val="auto"/>
          <w:spacing w:val="0"/>
          <w:sz w:val="31"/>
          <w:szCs w:val="31"/>
        </w:rPr>
        <w:t>投标邀请</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福州市鼓楼区建设投资管理中心福州左海公园-金牛山城市森林步道第3标段（智能化系统）采购项目</w:t>
      </w:r>
      <w:r>
        <w:rPr>
          <w:rFonts w:hint="eastAsia" w:ascii="宋体" w:hAnsi="宋体" w:eastAsia="宋体" w:cs="宋体"/>
          <w:color w:val="auto"/>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A1-JSTZGLZX-GK-201810-B1756-IDN</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[350102]HY[GK]2018038</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进口产品，不适用于合同包1。节能产品，适用于合同包1，按照最新一期节能清单执行。环境标志产品，适用于合同包1，按照最新一期环境标志清单执行。信息安全产品，适用于合同包1。小型、微型企业，适用于合同包1。监狱企业，适用于合同包1。促进残疾人就业 ，适用于合同包1。信用记录，适用于合同包1，按照下列规定执行：（1）（根据财库〔2016〕125号文件规定，供应商不得被列入失信被执行人、重大税收违法案件当事人名单、政府采购严重违法失信行为记录名单，投标人应在本项目招标公告发布日期之后、投标截止时间之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6"/>
          <w:rFonts w:hint="eastAsia" w:ascii="宋体" w:hAnsi="宋体" w:eastAsia="宋体" w:cs="宋体"/>
          <w:b/>
          <w:color w:val="auto"/>
          <w:spacing w:val="0"/>
          <w:sz w:val="24"/>
          <w:szCs w:val="24"/>
        </w:rPr>
        <w:t>包：1</w:t>
      </w:r>
    </w:p>
    <w:tbl>
      <w:tblPr>
        <w:tblStyle w:val="7"/>
        <w:tblW w:w="830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37"/>
        <w:gridCol w:w="456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3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c>
          <w:tcPr>
            <w:tcW w:w="4568"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为运营商的，应具有工业和信息化部核发的《基础电信业务经营许可证》（若投标人为分支机构，则需提供所属集团公司的《基础电信业务经营许可证》复印件）；②投标人为非运营商的，应具有电子与智能化工程专业承包二级及以上资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执行本合同包所需的设备及专业技术能力特别要求</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是指提交“具备履行合同所必需设备和专业技术能力的声明函"。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所投产品如有国家强制性要求或认证的</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产品如有国家强制性要求或认证的（如：3C、强制性节能产品等），必须提供相关的证明文件或证书复印件，投标产品若为强制性节能目录内加★品目的，须提供财政部、国家发改委公布在中国政府采购网上的最新一期政府强制采购节能产品清单目录内的产品，须标明所投产品所在位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投标人须提供参加政府采购活动前在环境保护领域没有存在严重失信行为的书面声明</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是指提交“参加政府采购活动前在环境保护领域没有存在严重失信行为的书面声明函”。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特别提示</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1、供应商在电子投标文件中提供的“单位负责人授权书”应为单位负责人有效签字或盖章的复印件(含扫描件)，否则投标无效。 2、若出现有关法律、法规和规章有强制性规定但招标文件未列明的情形，供应商应按照有关法律、法规和规章强制性规定执行，供应商参加投标即表示同意此条款。</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7、报名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6"/>
          <w:rFonts w:hint="eastAsia" w:ascii="宋体" w:hAnsi="宋体" w:eastAsia="宋体" w:cs="宋体"/>
          <w:b/>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8、招标文件的获取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8.3、招标文件售价：</w:t>
      </w:r>
      <w:r>
        <w:rPr>
          <w:rFonts w:hint="default" w:ascii="Times New Roman" w:hAnsi="Times New Roman" w:cs="Times New Roman"/>
          <w:color w:val="auto"/>
          <w:spacing w:val="0"/>
          <w:sz w:val="24"/>
          <w:szCs w:val="24"/>
        </w:rPr>
        <w:t>0</w:t>
      </w:r>
      <w:r>
        <w:rPr>
          <w:rFonts w:hint="eastAsia" w:ascii="宋体" w:hAnsi="宋体" w:eastAsia="宋体" w:cs="宋体"/>
          <w:color w:val="auto"/>
          <w:spacing w:val="0"/>
          <w:sz w:val="24"/>
          <w:szCs w:val="24"/>
        </w:rPr>
        <w:t>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9、投标截止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6"/>
          <w:rFonts w:hint="eastAsia" w:ascii="宋体" w:hAnsi="宋体" w:eastAsia="宋体" w:cs="宋体"/>
          <w:b/>
          <w:color w:val="auto"/>
          <w:spacing w:val="0"/>
          <w:sz w:val="24"/>
          <w:szCs w:val="24"/>
        </w:rPr>
        <w:t>投标人的CA证书</w:t>
      </w:r>
      <w:r>
        <w:rPr>
          <w:rFonts w:hint="eastAsia" w:ascii="宋体" w:hAnsi="宋体" w:eastAsia="宋体" w:cs="宋体"/>
          <w:color w:val="auto"/>
          <w:spacing w:val="0"/>
          <w:sz w:val="24"/>
          <w:szCs w:val="24"/>
        </w:rPr>
        <w:t>连同</w:t>
      </w:r>
      <w:r>
        <w:rPr>
          <w:rStyle w:val="6"/>
          <w:rFonts w:hint="eastAsia" w:ascii="宋体" w:hAnsi="宋体" w:eastAsia="宋体" w:cs="宋体"/>
          <w:b/>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6"/>
          <w:rFonts w:hint="eastAsia" w:ascii="宋体" w:hAnsi="宋体" w:eastAsia="宋体" w:cs="宋体"/>
          <w:b/>
          <w:color w:val="auto"/>
          <w:spacing w:val="0"/>
          <w:sz w:val="24"/>
          <w:szCs w:val="24"/>
        </w:rPr>
        <w:t>投标将被拒绝。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6"/>
          <w:rFonts w:hint="eastAsia" w:ascii="宋体" w:hAnsi="宋体" w:eastAsia="宋体" w:cs="宋体"/>
          <w:b/>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11、公告期限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rPr>
        <w:t>5</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11.2招标文件公告期限：招标文件随同招标公告一并发布，其公告期限与本章第</w:t>
      </w:r>
      <w:r>
        <w:rPr>
          <w:rFonts w:hint="default" w:ascii="Times New Roman" w:hAnsi="Times New Roman" w:cs="Times New Roman"/>
          <w:color w:val="auto"/>
          <w:spacing w:val="0"/>
          <w:sz w:val="24"/>
          <w:szCs w:val="24"/>
        </w:rPr>
        <w:t>11.1</w:t>
      </w:r>
      <w:r>
        <w:rPr>
          <w:rFonts w:hint="eastAsia" w:ascii="宋体" w:hAnsi="宋体" w:eastAsia="宋体" w:cs="宋体"/>
          <w:color w:val="auto"/>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12、采购人：福州市鼓楼区建设投资管理中心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地址：福州市鼓楼区津泰路98号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联系方法：18259087869</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13、代理机构：福建宏友招标有限公司</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地址：福州市晋安区福新东路12号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联系方法：0591-87323031</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附1：账户信息</w:t>
      </w:r>
    </w:p>
    <w:tbl>
      <w:tblPr>
        <w:tblStyle w:val="7"/>
        <w:tblW w:w="894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94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15" w:hRule="atLeast"/>
        </w:trPr>
        <w:tc>
          <w:tcPr>
            <w:tcW w:w="89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b/>
                <w:color w:val="auto"/>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89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福建宏友招标有限公司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615" w:hRule="atLeast"/>
        </w:trPr>
        <w:tc>
          <w:tcPr>
            <w:tcW w:w="89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914" w:hRule="atLeast"/>
        </w:trPr>
        <w:tc>
          <w:tcPr>
            <w:tcW w:w="89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5" w:hRule="atLeast"/>
        </w:trPr>
        <w:tc>
          <w:tcPr>
            <w:tcW w:w="89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b/>
                <w:color w:val="auto"/>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229" w:hRule="atLeast"/>
        </w:trPr>
        <w:tc>
          <w:tcPr>
            <w:tcW w:w="89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w:t>
      </w:r>
      <w:r>
        <w:rPr>
          <w:color w:val="auto"/>
          <w:spacing w:val="0"/>
          <w:sz w:val="24"/>
          <w:szCs w:val="24"/>
        </w:rPr>
        <w:t>2</w:t>
      </w:r>
      <w:r>
        <w:rPr>
          <w:rFonts w:hint="eastAsia" w:ascii="宋体" w:hAnsi="宋体" w:eastAsia="宋体" w:cs="宋体"/>
          <w:color w:val="auto"/>
          <w:spacing w:val="0"/>
          <w:sz w:val="24"/>
          <w:szCs w:val="24"/>
        </w:rPr>
        <w:t>：采购标的一览表</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rPr>
        <w:t>金额单位：人民币元</w:t>
      </w:r>
    </w:p>
    <w:tbl>
      <w:tblPr>
        <w:tblStyle w:val="7"/>
        <w:tblW w:w="9600" w:type="dxa"/>
        <w:jc w:val="center"/>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8"/>
        <w:gridCol w:w="1059"/>
        <w:gridCol w:w="1194"/>
        <w:gridCol w:w="817"/>
        <w:gridCol w:w="866"/>
        <w:gridCol w:w="2424"/>
        <w:gridCol w:w="1129"/>
        <w:gridCol w:w="10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71" w:hRule="atLeast"/>
          <w:tblHeader/>
          <w:jc w:val="center"/>
        </w:trPr>
        <w:tc>
          <w:tcPr>
            <w:tcW w:w="10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10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1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81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86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242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11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10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718" w:hRule="atLeast"/>
          <w:jc w:val="center"/>
        </w:trPr>
        <w:tc>
          <w:tcPr>
            <w:tcW w:w="10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6360" w:type="dxa"/>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6344" w:type="dxa"/>
              <w:jc w:val="center"/>
              <w:tblInd w:w="2" w:type="dxa"/>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22"/>
              <w:gridCol w:w="1240"/>
              <w:gridCol w:w="800"/>
              <w:gridCol w:w="883"/>
              <w:gridCol w:w="2399"/>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0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24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其他不另分类的物品</w:t>
                  </w:r>
                </w:p>
              </w:tc>
              <w:tc>
                <w:tcPr>
                  <w:tcW w:w="8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8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1（套）</w:t>
                  </w:r>
                </w:p>
              </w:tc>
              <w:tc>
                <w:tcPr>
                  <w:tcW w:w="23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14,362,193.0000</w:t>
                  </w:r>
                </w:p>
              </w:tc>
            </w:tr>
          </w:tbl>
          <w:p>
            <w:pPr>
              <w:jc w:val="center"/>
              <w:rPr>
                <w:color w:val="auto"/>
              </w:rPr>
            </w:pPr>
          </w:p>
        </w:tc>
        <w:tc>
          <w:tcPr>
            <w:tcW w:w="11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14362193</w:t>
            </w:r>
          </w:p>
        </w:tc>
        <w:tc>
          <w:tcPr>
            <w:tcW w:w="10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287243</w:t>
            </w:r>
          </w:p>
        </w:tc>
      </w:tr>
    </w:tbl>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第二章</w:t>
      </w:r>
      <w:r>
        <w:rPr>
          <w:rStyle w:val="6"/>
          <w:b/>
          <w:color w:val="auto"/>
          <w:spacing w:val="0"/>
          <w:sz w:val="31"/>
          <w:szCs w:val="31"/>
        </w:rPr>
        <w:t>   </w:t>
      </w:r>
      <w:r>
        <w:rPr>
          <w:rStyle w:val="6"/>
          <w:rFonts w:hint="eastAsia" w:ascii="宋体" w:hAnsi="宋体" w:eastAsia="宋体" w:cs="宋体"/>
          <w:b/>
          <w:color w:val="auto"/>
          <w:spacing w:val="0"/>
          <w:sz w:val="31"/>
          <w:szCs w:val="31"/>
        </w:rPr>
        <w:t>投标人须知前附表（表1、</w:t>
      </w:r>
      <w:r>
        <w:rPr>
          <w:rStyle w:val="6"/>
          <w:rFonts w:hint="default" w:ascii="Times New Roman" w:hAnsi="Times New Roman" w:cs="Times New Roman"/>
          <w:b/>
          <w:color w:val="auto"/>
          <w:spacing w:val="0"/>
          <w:sz w:val="31"/>
          <w:szCs w:val="31"/>
        </w:rPr>
        <w:t>2</w:t>
      </w:r>
      <w:r>
        <w:rPr>
          <w:rStyle w:val="6"/>
          <w:rFonts w:hint="eastAsia" w:ascii="宋体" w:hAnsi="宋体" w:eastAsia="宋体" w:cs="宋体"/>
          <w:b/>
          <w:color w:val="auto"/>
          <w:spacing w:val="0"/>
          <w:sz w:val="31"/>
          <w:szCs w:val="31"/>
        </w:rPr>
        <w:t>）</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w:t>
      </w:r>
      <w:r>
        <w:rPr>
          <w:color w:val="auto"/>
          <w:spacing w:val="0"/>
          <w:sz w:val="24"/>
          <w:szCs w:val="24"/>
        </w:rPr>
        <w:t>1</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97"/>
        <w:gridCol w:w="1586"/>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516" w:type="dxa"/>
            <w:gridSpan w:val="3"/>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b/>
                <w:color w:val="auto"/>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投标文件的份数：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密封及其标记的具体形式：</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6"/>
                <w:rFonts w:hint="eastAsia" w:ascii="宋体" w:hAnsi="宋体" w:eastAsia="宋体" w:cs="宋体"/>
                <w:b/>
                <w:color w:val="auto"/>
                <w:spacing w:val="0"/>
                <w:sz w:val="24"/>
                <w:szCs w:val="24"/>
              </w:rPr>
              <w:t>投标将被拒绝。</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不承担责任。</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586" w:type="dxa"/>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333" w:type="dxa"/>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6"/>
                <w:rFonts w:hint="eastAsia" w:ascii="宋体" w:hAnsi="宋体" w:eastAsia="宋体" w:cs="宋体"/>
                <w:b/>
                <w:color w:val="auto"/>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color w:val="auto"/>
                <w:spacing w:val="0"/>
                <w:sz w:val="24"/>
                <w:szCs w:val="24"/>
              </w:rPr>
              <w:t>。</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4"/>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招标文件的质疑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※除上述规定外，对招标文件提出的质疑还应符合招标文件第三章第</w:t>
            </w:r>
            <w:r>
              <w:rPr>
                <w:rStyle w:val="6"/>
                <w:rFonts w:hint="default" w:ascii="Times New Roman" w:hAnsi="Times New Roman" w:cs="Times New Roman"/>
                <w:b/>
                <w:color w:val="auto"/>
                <w:spacing w:val="0"/>
                <w:sz w:val="24"/>
                <w:szCs w:val="24"/>
              </w:rPr>
              <w:t>15.1</w:t>
            </w:r>
            <w:r>
              <w:rPr>
                <w:rStyle w:val="6"/>
                <w:rFonts w:hint="eastAsia" w:ascii="宋体" w:hAnsi="宋体" w:eastAsia="宋体" w:cs="宋体"/>
                <w:b/>
                <w:color w:val="auto"/>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监督管理部门：</w:t>
            </w:r>
            <w:r>
              <w:rPr>
                <w:rFonts w:hint="eastAsia" w:ascii="宋体" w:hAnsi="宋体" w:eastAsia="宋体" w:cs="宋体"/>
                <w:color w:val="auto"/>
                <w:spacing w:val="0"/>
                <w:sz w:val="24"/>
                <w:szCs w:val="24"/>
              </w:rPr>
              <w:t>福州市鼓楼区财政局</w:t>
            </w:r>
            <w:r>
              <w:rPr>
                <w:rStyle w:val="6"/>
                <w:rFonts w:hint="eastAsia" w:ascii="宋体" w:hAnsi="宋体" w:eastAsia="宋体" w:cs="宋体"/>
                <w:b/>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（2）中国政府采购网福建分网（福建省政府采购网），网址cz.fjzfcg.gov.cn</w:t>
            </w:r>
            <w:r>
              <w:rPr>
                <w:color w:val="auto"/>
              </w:rPr>
              <w:t>。</w:t>
            </w:r>
          </w:p>
          <w:p>
            <w:pPr>
              <w:pStyle w:val="4"/>
              <w:keepNext w:val="0"/>
              <w:keepLines w:val="0"/>
              <w:widowControl/>
              <w:suppressLineNumbers w:val="0"/>
              <w:wordWrap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※除招标文件第一章第</w:t>
            </w:r>
            <w:r>
              <w:rPr>
                <w:rStyle w:val="6"/>
                <w:rFonts w:hint="default" w:ascii="Times New Roman" w:hAnsi="Times New Roman" w:cs="Times New Roman"/>
                <w:b/>
                <w:color w:val="auto"/>
                <w:spacing w:val="0"/>
                <w:sz w:val="24"/>
                <w:szCs w:val="24"/>
              </w:rPr>
              <w:t>11.1</w:t>
            </w:r>
            <w:r>
              <w:rPr>
                <w:rStyle w:val="6"/>
                <w:rFonts w:hint="eastAsia" w:ascii="宋体" w:hAnsi="宋体" w:eastAsia="宋体" w:cs="宋体"/>
                <w:b/>
                <w:color w:val="auto"/>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7"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58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6333" w:type="dxa"/>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其他事项：</w:t>
            </w:r>
          </w:p>
          <w:p>
            <w:pPr>
              <w:pStyle w:val="4"/>
              <w:keepNext w:val="0"/>
              <w:keepLines w:val="0"/>
              <w:widowControl/>
              <w:suppressLineNumbers w:val="0"/>
              <w:wordWrap w:val="0"/>
              <w:spacing w:before="0" w:beforeAutospacing="0" w:after="0" w:afterAutospacing="0"/>
              <w:ind w:left="0" w:right="0"/>
              <w:rPr>
                <w:color w:val="auto"/>
              </w:rPr>
            </w:pPr>
            <w:r>
              <w:rPr>
                <w:rStyle w:val="6"/>
                <w:rFonts w:hint="eastAsia" w:ascii="宋体" w:hAnsi="宋体" w:eastAsia="宋体" w:cs="宋体"/>
                <w:b/>
                <w:color w:val="auto"/>
                <w:spacing w:val="0"/>
                <w:sz w:val="24"/>
                <w:szCs w:val="24"/>
              </w:rPr>
              <w:t>(1)本项目代理服务费由</w:t>
            </w:r>
            <w:r>
              <w:rPr>
                <w:rFonts w:hint="eastAsia" w:ascii="宋体" w:hAnsi="宋体" w:eastAsia="宋体" w:cs="宋体"/>
                <w:b/>
                <w:color w:val="auto"/>
                <w:spacing w:val="0"/>
                <w:sz w:val="24"/>
                <w:szCs w:val="24"/>
              </w:rPr>
              <w:t>中标人</w:t>
            </w:r>
            <w:r>
              <w:rPr>
                <w:rStyle w:val="6"/>
                <w:rFonts w:hint="eastAsia" w:ascii="宋体" w:hAnsi="宋体" w:eastAsia="宋体" w:cs="宋体"/>
                <w:b/>
                <w:color w:val="auto"/>
                <w:spacing w:val="0"/>
                <w:sz w:val="24"/>
                <w:szCs w:val="24"/>
              </w:rPr>
              <w:t>支付。</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(2)其他：</w:t>
            </w:r>
            <w:r>
              <w:rPr>
                <w:rFonts w:hint="eastAsia" w:ascii="宋体" w:hAnsi="宋体" w:eastAsia="宋体" w:cs="宋体"/>
                <w:b/>
                <w:color w:val="auto"/>
                <w:spacing w:val="0"/>
                <w:sz w:val="24"/>
                <w:szCs w:val="24"/>
              </w:rPr>
              <w:t>19.1最高限价： 本项目合同包1最高限价为12702193元，投标人超过最高限价的报价为无效报价。 19.2实质性要求和条件： 19.2.1信用记录查询及使用： (1)信用记录查询渠道及截止时点：采购代理机构将在投标截止时间截止后，评标工作结束前，通过“信用中国”网站(www.creditchina.gov.cn)、中国政府采购网(www.ccgp.gov.cn)查询投标人的信用记录。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w:t>
            </w:r>
            <w:r>
              <w:rPr>
                <w:rFonts w:hint="eastAsia" w:ascii="宋体" w:hAnsi="宋体" w:eastAsia="宋体" w:cs="宋体"/>
                <w:b/>
                <w:color w:val="auto"/>
                <w:spacing w:val="0"/>
                <w:sz w:val="24"/>
                <w:szCs w:val="24"/>
                <w:lang w:eastAsia="zh-CN"/>
              </w:rPr>
              <w:t>资格审查小组</w:t>
            </w:r>
            <w:r>
              <w:rPr>
                <w:rFonts w:hint="eastAsia" w:ascii="宋体" w:hAnsi="宋体" w:eastAsia="宋体" w:cs="宋体"/>
                <w:b/>
                <w:color w:val="auto"/>
                <w:spacing w:val="0"/>
                <w:sz w:val="24"/>
                <w:szCs w:val="24"/>
              </w:rPr>
              <w:t>视为无效投标： ①被列入“信用中国”网站(www.creditchina.gov.cn)中政府采购严重违法失信名单的； ②被列入中国政府采购网(www.ccgp.gov.cn)中政府采购严重违法失信行为信息记录的； ③属于《政府采购法》第二十二条的“重大违法记录”。19.2.2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19.2.3本项目未经过进 口产品论证，采购的货物为国内产品，不接受进 口产品投标。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 口产品。进 口产品是指通过中国海关报关验放进入中国境内且产自关境外的产品。对从境外进入海关特殊监管区域，再经办理报关手续后从海关特殊监管区进入境内其他地区的产品，认定为进 口产品。19.2.4无效投标及废标条款： 以下为可能导致无效投标或废标的条款，具体内容详见招标文件各章节，请各投标人认真查看对照。 (1)投标报价不符合投标人须知前附表第13项号19.1条款规定的。 (2)不符合投标人须知前附表第13项号19.2条款规定的。(3)出现第三章投标人须知无效投标规定的。 (4)出现第四章投标人须知无效投标规定的。 (5)出现第五章招标内容及要求中“★”标示的内容为负偏离的。 (6)出现第五章招标内容及要求无效投标规定的。 (7)明显不符合技术和服务要求的为无效响应。 (8)内容不全或关键字迹模糊、无法辨认的为无效响应。 19.3根据《政府采购质疑和投诉办法》(财政部令第94号)第十二条的规定：对采购过程、中标或者成交结果提出的质疑，合格供 应商符合法定数量时，可以从合格的中标或者成交候选人中另行确定中标、成交供 应商的，应当依法另行确定中标、成交供 应商；否则应当重新开展采购活动。19.4质疑与投诉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(1)对可以质疑的采购文件提出质疑的，为收到采购文件之日； (2)对采购过程提出质疑的，为各采购程序环节结束之日；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 (3)接收质疑函的联系电话：0591-87323031； (4)接收质疑函的通讯地址：福州市晋安区福新东路12号二楼福建宏友招标有限公司。 19.4.2投诉 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19.5单位负责人参加投标时须需随身携带本人身份证原件和提供相关证明材料证明其单位负责人身份；授权代表参加投标时需随身携带本人身份证原件及单位负责人授权书（附单位负责人身份证复印件及被授权人身份证复印件）；投标代表人与投标文件递交人须为同一人，签到时须提供相关证明材料，否则将导致投标文件将被拒收，并将其原封不动地退回投标人。19.6招标代 理服务费19.6.1招标代理服务费收取标准：(1)以中标通知书规定的中标金额作为收费的计算基数。 (2)招标代理服务收费的标准：100(万元)以下收费费率标准：1.50%，100－500(万元)收费费率标准:1.1％，500－1000(万元)收费费率标准:</w:t>
            </w:r>
            <w:r>
              <w:rPr>
                <w:rFonts w:hint="eastAsia" w:ascii="宋体" w:hAnsi="宋体" w:eastAsia="宋体" w:cs="宋体"/>
                <w:b/>
                <w:color w:val="auto"/>
                <w:spacing w:val="0"/>
                <w:sz w:val="24"/>
                <w:szCs w:val="24"/>
                <w:lang w:val="en-US" w:eastAsia="zh-CN"/>
              </w:rPr>
              <w:t>0.8</w:t>
            </w:r>
            <w:r>
              <w:rPr>
                <w:rFonts w:hint="eastAsia" w:ascii="宋体" w:hAnsi="宋体" w:eastAsia="宋体" w:cs="宋体"/>
                <w:b/>
                <w:color w:val="auto"/>
                <w:spacing w:val="0"/>
                <w:sz w:val="24"/>
                <w:szCs w:val="24"/>
              </w:rPr>
              <w:t>％，1000－5000(万元)收费费率标准:0.</w:t>
            </w:r>
            <w:r>
              <w:rPr>
                <w:rFonts w:hint="eastAsia" w:ascii="宋体" w:hAnsi="宋体" w:eastAsia="宋体" w:cs="宋体"/>
                <w:b/>
                <w:color w:val="auto"/>
                <w:spacing w:val="0"/>
                <w:sz w:val="24"/>
                <w:szCs w:val="24"/>
                <w:lang w:val="en-US" w:eastAsia="zh-CN"/>
              </w:rPr>
              <w:t>5</w:t>
            </w:r>
            <w:bookmarkStart w:id="0" w:name="_GoBack"/>
            <w:bookmarkEnd w:id="0"/>
            <w:r>
              <w:rPr>
                <w:rFonts w:hint="eastAsia" w:ascii="宋体" w:hAnsi="宋体" w:eastAsia="宋体" w:cs="宋体"/>
                <w:b/>
                <w:color w:val="auto"/>
                <w:spacing w:val="0"/>
                <w:sz w:val="24"/>
                <w:szCs w:val="24"/>
              </w:rPr>
              <w:t>％。19.6.2招标代理服务费收取方式： (1)中标人应在领取中标通知书的同时按规定的标准一次性向采购代理机构缴清招标代理服务费。招标代理服务费以银行转账、电汇、汇票或现金等付款方式。 (2)招标代理服务费缴交银行帐号：开户名：福建宏友招标有限公司；开户行： 中国工商银行股份有限公司福州塔头支行；帐号：1402210309600006871。 19.7在本项目中，受托为整体采购项目或其中分项的前期工作提供设计、编制规范、进行管理等服务的供应商，凡为整体项目提供上述服务的法人及其附属机构（单位），不得再参加该整体项目及其所有分项目的采购活动；凡为分项目提供上述服务的法人及其附属机构（单位），不得再参加该分项目的采购活动。即投标人不得与本次招标项目设计、编制技术规格和其它文件的公司或提供咨询服务的公司包括其附属机构有任何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2183" w:type="dxa"/>
            <w:gridSpan w:val="2"/>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6333" w:type="dxa"/>
            <w:shd w:val="clear" w:color="auto" w:fill="FFFFFF"/>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rPr>
                <w:color w:val="auto"/>
              </w:rPr>
            </w:pPr>
            <w:r>
              <w:rPr>
                <w:rStyle w:val="6"/>
                <w:rFonts w:hint="eastAsia" w:ascii="宋体" w:hAnsi="宋体" w:eastAsia="宋体" w:cs="宋体"/>
                <w:b/>
                <w:color w:val="auto"/>
                <w:spacing w:val="0"/>
                <w:sz w:val="24"/>
                <w:szCs w:val="24"/>
              </w:rPr>
              <w:t>后有表</w:t>
            </w:r>
            <w:r>
              <w:rPr>
                <w:rStyle w:val="6"/>
                <w:rFonts w:hint="default" w:ascii="Times New Roman" w:hAnsi="Times New Roman" w:cs="Times New Roman"/>
                <w:b/>
                <w:color w:val="auto"/>
                <w:spacing w:val="0"/>
                <w:sz w:val="24"/>
                <w:szCs w:val="24"/>
              </w:rPr>
              <w:t>2</w:t>
            </w:r>
            <w:r>
              <w:rPr>
                <w:rStyle w:val="6"/>
                <w:rFonts w:hint="eastAsia" w:ascii="宋体" w:hAnsi="宋体" w:eastAsia="宋体" w:cs="宋体"/>
                <w:b/>
                <w:color w:val="auto"/>
                <w:spacing w:val="0"/>
                <w:sz w:val="24"/>
                <w:szCs w:val="24"/>
              </w:rPr>
              <w:t>，请勿遗漏。</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表2</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80"/>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516" w:type="dxa"/>
            <w:gridSpan w:val="2"/>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Style w:val="6"/>
                <w:rFonts w:hint="eastAsia" w:ascii="宋体" w:hAnsi="宋体" w:eastAsia="宋体" w:cs="宋体"/>
                <w:b/>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803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8036" w:type="dxa"/>
            <w:shd w:val="clear" w:color="auto" w:fill="FFFFFF"/>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6"/>
                <w:rFonts w:hint="eastAsia" w:ascii="宋体" w:hAnsi="宋体" w:eastAsia="宋体" w:cs="宋体"/>
                <w:b/>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6"/>
                <w:rFonts w:hint="eastAsia" w:ascii="宋体" w:hAnsi="宋体" w:eastAsia="宋体" w:cs="宋体"/>
                <w:b/>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6"/>
                <w:rFonts w:hint="eastAsia" w:ascii="宋体" w:hAnsi="宋体" w:eastAsia="宋体" w:cs="宋体"/>
                <w:b/>
                <w:color w:val="auto"/>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6"/>
                <w:rFonts w:hint="eastAsia" w:ascii="宋体" w:hAnsi="宋体" w:eastAsia="宋体" w:cs="宋体"/>
                <w:b/>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6"/>
                <w:rFonts w:hint="eastAsia" w:ascii="宋体" w:hAnsi="宋体" w:eastAsia="宋体" w:cs="宋体"/>
                <w:b/>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6"/>
                <w:rFonts w:hint="eastAsia" w:ascii="宋体" w:hAnsi="宋体" w:eastAsia="宋体" w:cs="宋体"/>
                <w:b/>
                <w:color w:val="auto"/>
                <w:sz w:val="24"/>
                <w:szCs w:val="24"/>
              </w:rPr>
              <w:t>（资格审查小组、评标委员会将核对纸质投标文件正本，未提供原件的证明材料或资料将导致投标无效）。</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c.《检察机关行贿犯罪档案查询结果告知函》</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6"/>
                <w:rFonts w:hint="eastAsia" w:ascii="宋体" w:hAnsi="宋体" w:eastAsia="宋体" w:cs="宋体"/>
                <w:b/>
                <w:color w:val="auto"/>
                <w:sz w:val="24"/>
                <w:szCs w:val="24"/>
              </w:rPr>
              <w:t>投标无效。</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6"/>
                <w:rFonts w:hint="eastAsia" w:ascii="宋体" w:hAnsi="宋体" w:eastAsia="宋体" w:cs="宋体"/>
                <w:b/>
                <w:color w:val="auto"/>
                <w:sz w:val="24"/>
                <w:szCs w:val="24"/>
              </w:rPr>
              <w:t>均视同有效。</w:t>
            </w:r>
          </w:p>
          <w:p>
            <w:pPr>
              <w:pStyle w:val="4"/>
              <w:keepNext w:val="0"/>
              <w:keepLines w:val="0"/>
              <w:widowControl/>
              <w:suppressLineNumbers w:val="0"/>
              <w:wordWrap w:val="0"/>
              <w:spacing w:before="0" w:beforeAutospacing="0" w:after="0" w:afterAutospacing="0"/>
              <w:ind w:left="0" w:right="0"/>
              <w:rPr>
                <w:color w:val="auto"/>
              </w:rPr>
            </w:pP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6"/>
                <w:rFonts w:hint="eastAsia" w:ascii="宋体" w:hAnsi="宋体" w:eastAsia="宋体" w:cs="宋体"/>
                <w:b/>
                <w:color w:val="auto"/>
                <w:spacing w:val="0"/>
                <w:sz w:val="24"/>
                <w:szCs w:val="24"/>
              </w:rPr>
              <w:t>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6"/>
                <w:rFonts w:hint="eastAsia" w:ascii="宋体" w:hAnsi="宋体" w:eastAsia="宋体" w:cs="宋体"/>
                <w:b/>
                <w:color w:val="auto"/>
                <w:spacing w:val="0"/>
                <w:sz w:val="24"/>
                <w:szCs w:val="24"/>
              </w:rPr>
              <w:t>不视为投标无效。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6"/>
                <w:rFonts w:hint="eastAsia" w:ascii="宋体" w:hAnsi="宋体" w:eastAsia="宋体" w:cs="宋体"/>
                <w:b/>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6"/>
                <w:rFonts w:hint="eastAsia" w:ascii="宋体" w:hAnsi="宋体" w:eastAsia="宋体" w:cs="宋体"/>
                <w:b/>
                <w:color w:val="auto"/>
                <w:spacing w:val="0"/>
                <w:sz w:val="24"/>
                <w:szCs w:val="24"/>
              </w:rPr>
              <w:t>投标将被拒绝。</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b.有下列情形之一的，视为投标人串通投标，</w:t>
            </w:r>
            <w:r>
              <w:rPr>
                <w:rStyle w:val="6"/>
                <w:rFonts w:hint="eastAsia" w:ascii="宋体" w:hAnsi="宋体" w:eastAsia="宋体" w:cs="宋体"/>
                <w:b/>
                <w:color w:val="auto"/>
                <w:spacing w:val="0"/>
                <w:sz w:val="24"/>
                <w:szCs w:val="24"/>
              </w:rPr>
              <w:t>其投标无效：</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特别提示：(1)投标人须办理福建政府采购专用数字证书及电子印章（CA），办理地址：福州市鼓楼区温泉公园路188号一楼受理大厅，客服电话：0591-968975，福建省数字安全证书管理有限公司，经审核后才能进行电子投标活动。注册、报名请按下载专区中“政府采购网上信息公开信息系统操作手册及相关软件下载”规定操作。（2）参加开标会的投标人代表务必携带投标人的CA证书，网站注册单位名称、供应商名称、电子章名称、保证金账户名称应为一致，否则投标无效。 (2)供应商在电子投标文件中提供的“单位负责人授权书”应为单位负责人有效签字或盖章的复印件(含扫描件)，否则投标无效。</w:t>
            </w:r>
            <w:r>
              <w:rPr>
                <w:rFonts w:hint="eastAsia" w:ascii="宋体" w:hAnsi="宋体" w:eastAsia="宋体" w:cs="宋体"/>
                <w:color w:val="auto"/>
                <w:spacing w:val="0"/>
                <w:sz w:val="24"/>
                <w:szCs w:val="24"/>
              </w:rPr>
              <w:t>。</w:t>
            </w:r>
          </w:p>
        </w:tc>
      </w:tr>
    </w:tbl>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第三章   投标人须知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一、总则</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1、适用范围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2、定义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2.2“潜在投标人”指按照招标文件第一章第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2.3“投标人”指按照招标文件第一章第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二、投标人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3、合格投标人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3.1一般规定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4、投标费用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三、招标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5、招标文件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（1）投标邀请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（2）投标人须知前附表（表</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（3）投标人须知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（4）资格审查与评标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（5）招标内容及要求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（7）投标文件格式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w:t>
      </w:r>
      <w:r>
        <w:rPr>
          <w:color w:val="auto"/>
          <w:spacing w:val="0"/>
          <w:sz w:val="24"/>
          <w:szCs w:val="24"/>
          <w:u w:val="single"/>
        </w:rPr>
        <w:t>福建宏友招标有限公司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（2）除本章第</w:t>
      </w:r>
      <w:r>
        <w:rPr>
          <w:rFonts w:hint="default" w:ascii="Calibri" w:hAnsi="Calibri" w:cs="Calibri"/>
          <w:color w:val="auto"/>
          <w:spacing w:val="0"/>
          <w:sz w:val="24"/>
          <w:szCs w:val="24"/>
        </w:rPr>
        <w:t>5.2</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）款规定情形外，澄清或修改的内容可能影响投标文件编制的，</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个日历日的，</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7、更正公告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6"/>
          <w:rFonts w:hint="eastAsia" w:ascii="宋体" w:hAnsi="宋体" w:eastAsia="宋体" w:cs="宋体"/>
          <w:b/>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福建宏友招标有限公司可终止招标并发布终止公告。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none"/>
        </w:rPr>
        <w:t>8.2终止公告作为福建宏友招标有限公司</w:t>
      </w:r>
      <w:r>
        <w:rPr>
          <w:rFonts w:hint="eastAsia" w:ascii="宋体" w:hAnsi="宋体" w:eastAsia="宋体" w:cs="宋体"/>
          <w:color w:val="auto"/>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四、投标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9.2投标人应对同一个合同包内的所有内容进行完整投标，否则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9.3投标人代表只能接受一个投标人的授权参加投标，否则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9.7有下列情形之一的，视为投标人串通投标，</w:t>
      </w:r>
      <w:r>
        <w:rPr>
          <w:rStyle w:val="6"/>
          <w:rFonts w:hint="eastAsia" w:ascii="宋体" w:hAnsi="宋体" w:eastAsia="宋体" w:cs="宋体"/>
          <w:b/>
          <w:color w:val="auto"/>
          <w:spacing w:val="0"/>
          <w:sz w:val="24"/>
          <w:szCs w:val="24"/>
        </w:rPr>
        <w:t>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（2）投标文件应按照本章第</w:t>
      </w:r>
      <w:r>
        <w:rPr>
          <w:rFonts w:hint="default" w:ascii="Calibri" w:hAnsi="Calibri" w:cs="Calibri"/>
          <w:color w:val="auto"/>
          <w:spacing w:val="0"/>
          <w:sz w:val="24"/>
          <w:szCs w:val="24"/>
        </w:rPr>
        <w:t>10.2</w:t>
      </w:r>
      <w:r>
        <w:rPr>
          <w:rFonts w:hint="eastAsia" w:ascii="宋体" w:hAnsi="宋体" w:eastAsia="宋体" w:cs="宋体"/>
          <w:color w:val="auto"/>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（2）报价部分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②投标分项报价表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（3）技术商务部分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①标的说明一览表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③商务条件响应表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10.3投标文件的语言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10.5投标文件的格式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①正本应用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②副本应用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※除本章第</w:t>
      </w:r>
      <w:r>
        <w:rPr>
          <w:rStyle w:val="6"/>
          <w:rFonts w:hint="default" w:ascii="Calibri" w:hAnsi="Calibri" w:cs="Calibri"/>
          <w:b/>
          <w:color w:val="auto"/>
          <w:spacing w:val="0"/>
          <w:sz w:val="24"/>
          <w:szCs w:val="24"/>
        </w:rPr>
        <w:t>10.5</w:t>
      </w:r>
      <w:r>
        <w:rPr>
          <w:rStyle w:val="6"/>
          <w:rFonts w:hint="eastAsia" w:ascii="宋体" w:hAnsi="宋体" w:eastAsia="宋体" w:cs="宋体"/>
          <w:b/>
          <w:color w:val="auto"/>
          <w:spacing w:val="0"/>
          <w:sz w:val="24"/>
          <w:szCs w:val="24"/>
        </w:rPr>
        <w:t>条第（</w:t>
      </w:r>
      <w:r>
        <w:rPr>
          <w:rStyle w:val="6"/>
          <w:rFonts w:hint="default" w:ascii="Calibri" w:hAnsi="Calibri" w:cs="Calibri"/>
          <w:b/>
          <w:color w:val="auto"/>
          <w:spacing w:val="0"/>
          <w:sz w:val="24"/>
          <w:szCs w:val="24"/>
        </w:rPr>
        <w:t>2</w:t>
      </w:r>
      <w:r>
        <w:rPr>
          <w:rStyle w:val="6"/>
          <w:rFonts w:hint="eastAsia" w:ascii="宋体" w:hAnsi="宋体" w:eastAsia="宋体" w:cs="宋体"/>
          <w:b/>
          <w:color w:val="auto"/>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10.6投标报价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（1）投标报价超出最高限价将导致</w:t>
      </w:r>
      <w:r>
        <w:rPr>
          <w:rStyle w:val="6"/>
          <w:rFonts w:hint="eastAsia" w:ascii="宋体" w:hAnsi="宋体" w:eastAsia="宋体" w:cs="宋体"/>
          <w:b/>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6"/>
          <w:rFonts w:hint="eastAsia" w:ascii="宋体" w:hAnsi="宋体" w:eastAsia="宋体" w:cs="宋体"/>
          <w:b/>
          <w:color w:val="auto"/>
          <w:spacing w:val="0"/>
          <w:sz w:val="24"/>
          <w:szCs w:val="24"/>
        </w:rPr>
        <w:t>投标无效。</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10.7分包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③投标文件载明的分包承担主体拟再次分包。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10.8投标有效期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10.9投标保证金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①投标人应从其银行账户</w:t>
      </w:r>
      <w:r>
        <w:rPr>
          <w:rStyle w:val="6"/>
          <w:rFonts w:hint="eastAsia" w:ascii="宋体" w:hAnsi="宋体" w:eastAsia="宋体" w:cs="宋体"/>
          <w:b/>
          <w:color w:val="auto"/>
          <w:spacing w:val="0"/>
          <w:sz w:val="24"/>
          <w:szCs w:val="24"/>
        </w:rPr>
        <w:t>（基本存款账户）</w:t>
      </w:r>
      <w:r>
        <w:rPr>
          <w:rFonts w:hint="eastAsia" w:ascii="宋体" w:hAnsi="宋体" w:eastAsia="宋体" w:cs="宋体"/>
          <w:color w:val="auto"/>
          <w:spacing w:val="0"/>
          <w:sz w:val="24"/>
          <w:szCs w:val="24"/>
        </w:rPr>
        <w:t>按照下列方式：</w:t>
      </w:r>
      <w:r>
        <w:rPr>
          <w:rStyle w:val="6"/>
          <w:rFonts w:hint="eastAsia" w:ascii="宋体" w:hAnsi="宋体" w:eastAsia="宋体" w:cs="宋体"/>
          <w:b/>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6"/>
          <w:rFonts w:hint="eastAsia" w:ascii="宋体" w:hAnsi="宋体" w:eastAsia="宋体" w:cs="宋体"/>
          <w:b/>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③若本项目接受联合体投标且投标人为联合体，则联合体中的牵头方应按照本章第</w:t>
      </w:r>
      <w:r>
        <w:rPr>
          <w:rFonts w:hint="default" w:ascii="Calibri" w:hAnsi="Calibri" w:cs="Calibri"/>
          <w:color w:val="auto"/>
          <w:spacing w:val="0"/>
          <w:sz w:val="24"/>
          <w:szCs w:val="24"/>
        </w:rPr>
        <w:t>10.9</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②未中标人的投标保证金将在中标通知书发出之日起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③中标人的投标保证金将在政府采购合同签订之日起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个工作日内退回原账户；合同签订之日按照下列方式认定：</w:t>
      </w:r>
      <w:r>
        <w:rPr>
          <w:rStyle w:val="6"/>
          <w:rFonts w:hint="eastAsia" w:ascii="宋体" w:hAnsi="宋体" w:eastAsia="宋体" w:cs="宋体"/>
          <w:b/>
          <w:color w:val="auto"/>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※本章第</w:t>
      </w:r>
      <w:r>
        <w:rPr>
          <w:rStyle w:val="6"/>
          <w:rFonts w:hint="default" w:ascii="Calibri" w:hAnsi="Calibri" w:cs="Calibri"/>
          <w:b/>
          <w:color w:val="auto"/>
          <w:spacing w:val="0"/>
          <w:sz w:val="24"/>
          <w:szCs w:val="24"/>
        </w:rPr>
        <w:t>10.9</w:t>
      </w:r>
      <w:r>
        <w:rPr>
          <w:rStyle w:val="6"/>
          <w:rFonts w:hint="eastAsia" w:ascii="宋体" w:hAnsi="宋体" w:eastAsia="宋体" w:cs="宋体"/>
          <w:b/>
          <w:color w:val="auto"/>
          <w:spacing w:val="0"/>
          <w:sz w:val="24"/>
          <w:szCs w:val="24"/>
        </w:rPr>
        <w:t>条第（</w:t>
      </w:r>
      <w:r>
        <w:rPr>
          <w:rStyle w:val="6"/>
          <w:rFonts w:hint="default" w:ascii="Calibri" w:hAnsi="Calibri" w:cs="Calibri"/>
          <w:b/>
          <w:color w:val="auto"/>
          <w:spacing w:val="0"/>
          <w:sz w:val="24"/>
          <w:szCs w:val="24"/>
        </w:rPr>
        <w:t>4</w:t>
      </w:r>
      <w:r>
        <w:rPr>
          <w:rStyle w:val="6"/>
          <w:rFonts w:hint="eastAsia" w:ascii="宋体" w:hAnsi="宋体" w:eastAsia="宋体" w:cs="宋体"/>
          <w:b/>
          <w:color w:val="auto"/>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（5）若出现本章第</w:t>
      </w:r>
      <w:r>
        <w:rPr>
          <w:rFonts w:hint="default" w:ascii="Calibri" w:hAnsi="Calibri" w:cs="Calibri"/>
          <w:color w:val="auto"/>
          <w:spacing w:val="0"/>
          <w:sz w:val="24"/>
          <w:szCs w:val="24"/>
        </w:rPr>
        <w:t>10.8</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①投标人串通投标；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⑥投标人违反招标文件第三章第</w:t>
      </w:r>
      <w:r>
        <w:rPr>
          <w:rFonts w:hint="default" w:ascii="Calibri" w:hAnsi="Calibri" w:cs="Calibri"/>
          <w:color w:val="auto"/>
          <w:spacing w:val="0"/>
          <w:sz w:val="24"/>
          <w:szCs w:val="24"/>
        </w:rPr>
        <w:t>9.4</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9.5</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9.6</w:t>
      </w:r>
      <w:r>
        <w:rPr>
          <w:rFonts w:hint="eastAsia" w:ascii="宋体" w:hAnsi="宋体" w:eastAsia="宋体" w:cs="宋体"/>
          <w:color w:val="auto"/>
          <w:spacing w:val="0"/>
          <w:sz w:val="24"/>
          <w:szCs w:val="24"/>
        </w:rPr>
        <w:t>条规定之一；</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rPr>
          <w:color w:val="auto"/>
        </w:rPr>
      </w:pPr>
      <w:r>
        <w:rPr>
          <w:rFonts w:hint="default" w:ascii="Calibri" w:hAnsi="Calibri" w:cs="Calibri"/>
          <w:color w:val="auto"/>
          <w:spacing w:val="0"/>
          <w:sz w:val="24"/>
          <w:szCs w:val="24"/>
        </w:rPr>
        <w:t>a</w:t>
      </w:r>
      <w:r>
        <w:rPr>
          <w:rFonts w:hint="eastAsia" w:ascii="宋体" w:hAnsi="宋体" w:eastAsia="宋体" w:cs="宋体"/>
          <w:color w:val="auto"/>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10.10投标文件的提交</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（2）补充、修改的内容应按照本章第</w:t>
      </w:r>
      <w:r>
        <w:rPr>
          <w:rFonts w:hint="default" w:ascii="Calibri" w:hAnsi="Calibri" w:cs="Calibri"/>
          <w:color w:val="auto"/>
          <w:spacing w:val="0"/>
          <w:sz w:val="24"/>
          <w:szCs w:val="24"/>
        </w:rPr>
        <w:t>10.5</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4</w:t>
      </w:r>
      <w:r>
        <w:rPr>
          <w:rFonts w:hint="eastAsia" w:ascii="宋体" w:hAnsi="宋体" w:eastAsia="宋体" w:cs="宋体"/>
          <w:color w:val="auto"/>
          <w:spacing w:val="0"/>
          <w:sz w:val="24"/>
          <w:szCs w:val="24"/>
        </w:rPr>
        <w:t>）款规定进行签署、盖章，并按照本章第</w:t>
      </w:r>
      <w:r>
        <w:rPr>
          <w:rFonts w:hint="default" w:ascii="Calibri" w:hAnsi="Calibri" w:cs="Calibri"/>
          <w:color w:val="auto"/>
          <w:spacing w:val="0"/>
          <w:sz w:val="24"/>
          <w:szCs w:val="24"/>
        </w:rPr>
        <w:t>10.10</w:t>
      </w:r>
      <w:r>
        <w:rPr>
          <w:rFonts w:hint="eastAsia" w:ascii="宋体" w:hAnsi="宋体" w:eastAsia="宋体" w:cs="宋体"/>
          <w:color w:val="auto"/>
          <w:spacing w:val="0"/>
          <w:sz w:val="24"/>
          <w:szCs w:val="24"/>
        </w:rPr>
        <w:t>条规定提交，</w:t>
      </w:r>
      <w:r>
        <w:rPr>
          <w:rStyle w:val="6"/>
          <w:rFonts w:hint="eastAsia" w:ascii="宋体" w:hAnsi="宋体" w:eastAsia="宋体" w:cs="宋体"/>
          <w:b/>
          <w:color w:val="auto"/>
          <w:spacing w:val="0"/>
          <w:sz w:val="24"/>
          <w:szCs w:val="24"/>
        </w:rPr>
        <w:t>否则将被拒收。</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10.12除招标文件另有规定外，有下列情形之一的，</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五、开标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11、开标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※若出现本章第</w:t>
      </w:r>
      <w:r>
        <w:rPr>
          <w:rStyle w:val="6"/>
          <w:rFonts w:hint="default" w:ascii="Calibri" w:hAnsi="Calibri" w:cs="Calibri"/>
          <w:b/>
          <w:color w:val="auto"/>
          <w:spacing w:val="0"/>
          <w:sz w:val="24"/>
          <w:szCs w:val="24"/>
        </w:rPr>
        <w:t>11.4</w:t>
      </w:r>
      <w:r>
        <w:rPr>
          <w:rStyle w:val="6"/>
          <w:rFonts w:hint="eastAsia" w:ascii="宋体" w:hAnsi="宋体" w:eastAsia="宋体" w:cs="宋体"/>
          <w:b/>
          <w:color w:val="auto"/>
          <w:spacing w:val="0"/>
          <w:sz w:val="24"/>
          <w:szCs w:val="24"/>
        </w:rPr>
        <w:t>条第（</w:t>
      </w:r>
      <w:r>
        <w:rPr>
          <w:rStyle w:val="6"/>
          <w:rFonts w:hint="default" w:ascii="Calibri" w:hAnsi="Calibri" w:cs="Calibri"/>
          <w:b/>
          <w:color w:val="auto"/>
          <w:spacing w:val="0"/>
          <w:sz w:val="24"/>
          <w:szCs w:val="24"/>
        </w:rPr>
        <w:t>4</w:t>
      </w:r>
      <w:r>
        <w:rPr>
          <w:rStyle w:val="6"/>
          <w:rFonts w:hint="eastAsia" w:ascii="宋体" w:hAnsi="宋体" w:eastAsia="宋体" w:cs="宋体"/>
          <w:b/>
          <w:color w:val="auto"/>
          <w:spacing w:val="0"/>
          <w:sz w:val="24"/>
          <w:szCs w:val="24"/>
        </w:rPr>
        <w:t>）、（</w:t>
      </w:r>
      <w:r>
        <w:rPr>
          <w:rStyle w:val="6"/>
          <w:rFonts w:hint="default" w:ascii="Calibri" w:hAnsi="Calibri" w:cs="Calibri"/>
          <w:b/>
          <w:color w:val="auto"/>
          <w:spacing w:val="0"/>
          <w:sz w:val="24"/>
          <w:szCs w:val="24"/>
        </w:rPr>
        <w:t>5</w:t>
      </w:r>
      <w:r>
        <w:rPr>
          <w:rStyle w:val="6"/>
          <w:rFonts w:hint="eastAsia" w:ascii="宋体" w:hAnsi="宋体" w:eastAsia="宋体" w:cs="宋体"/>
          <w:b/>
          <w:color w:val="auto"/>
          <w:spacing w:val="0"/>
          <w:sz w:val="24"/>
          <w:szCs w:val="24"/>
        </w:rPr>
        <w:t>）、（</w:t>
      </w:r>
      <w:r>
        <w:rPr>
          <w:rStyle w:val="6"/>
          <w:rFonts w:hint="default" w:ascii="Calibri" w:hAnsi="Calibri" w:cs="Calibri"/>
          <w:b/>
          <w:color w:val="auto"/>
          <w:spacing w:val="0"/>
          <w:sz w:val="24"/>
          <w:szCs w:val="24"/>
        </w:rPr>
        <w:t>6</w:t>
      </w:r>
      <w:r>
        <w:rPr>
          <w:rStyle w:val="6"/>
          <w:rFonts w:hint="eastAsia" w:ascii="宋体" w:hAnsi="宋体" w:eastAsia="宋体" w:cs="宋体"/>
          <w:b/>
          <w:color w:val="auto"/>
          <w:spacing w:val="0"/>
          <w:sz w:val="24"/>
          <w:szCs w:val="24"/>
        </w:rPr>
        <w:t>）款规定情形之一</w:t>
      </w:r>
      <w:r>
        <w:rPr>
          <w:rFonts w:hint="eastAsia" w:ascii="宋体" w:hAnsi="宋体" w:eastAsia="宋体" w:cs="宋体"/>
          <w:color w:val="auto"/>
          <w:spacing w:val="0"/>
          <w:sz w:val="24"/>
          <w:szCs w:val="24"/>
        </w:rPr>
        <w:t>，</w:t>
      </w:r>
      <w:r>
        <w:rPr>
          <w:rStyle w:val="6"/>
          <w:rFonts w:hint="eastAsia" w:ascii="宋体" w:hAnsi="宋体" w:eastAsia="宋体" w:cs="宋体"/>
          <w:b/>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福建宏友招标有限公司</w:t>
      </w:r>
      <w:r>
        <w:rPr>
          <w:rStyle w:val="6"/>
          <w:rFonts w:hint="eastAsia" w:ascii="宋体" w:hAnsi="宋体" w:eastAsia="宋体" w:cs="宋体"/>
          <w:b/>
          <w:color w:val="auto"/>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12.3中标公告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（1）中标人确定之日起</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个工作日内，</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（2）中标公告的公告期限为</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个工作日。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12.4中标通知书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13、政府采购合同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13.2签订时限：自中标通知书发出之日起</w:t>
      </w:r>
      <w:r>
        <w:rPr>
          <w:rFonts w:hint="default" w:ascii="Calibri" w:hAnsi="Calibri" w:cs="Calibri"/>
          <w:color w:val="auto"/>
          <w:spacing w:val="0"/>
          <w:sz w:val="24"/>
          <w:szCs w:val="24"/>
        </w:rPr>
        <w:t>30</w:t>
      </w:r>
      <w:r>
        <w:rPr>
          <w:rFonts w:hint="eastAsia" w:ascii="宋体" w:hAnsi="宋体" w:eastAsia="宋体" w:cs="宋体"/>
          <w:color w:val="auto"/>
          <w:spacing w:val="0"/>
          <w:sz w:val="24"/>
          <w:szCs w:val="24"/>
        </w:rPr>
        <w:t>个日历日内。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13.3政府采购合同的履行、违约责任和解决争议的方法等适用合同法。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七、询问、质疑与投诉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14、询问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14.1潜在投标人或投标人对本次采购活动的有关事项若有疑问，可向福建宏友招标有限公司提出询问，福建宏友招标有限公司将按照政府采购法及实施条例的有关规定进行答复。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15、质疑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宏友招标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6"/>
          <w:rFonts w:hint="eastAsia" w:ascii="宋体" w:hAnsi="宋体" w:eastAsia="宋体" w:cs="宋体"/>
          <w:b/>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4"/>
        <w:keepNext w:val="0"/>
        <w:keepLines w:val="0"/>
        <w:widowControl/>
        <w:suppressLineNumbers w:val="0"/>
        <w:spacing w:before="0" w:beforeAutospacing="0" w:after="150" w:afterAutospacing="0"/>
        <w:ind w:left="0" w:right="0" w:firstLine="480"/>
        <w:rPr>
          <w:color w:val="auto"/>
        </w:rPr>
      </w:pPr>
      <w:r>
        <w:rPr>
          <w:rStyle w:val="6"/>
          <w:rFonts w:hint="eastAsia" w:ascii="宋体" w:hAnsi="宋体" w:eastAsia="宋体" w:cs="宋体"/>
          <w:b/>
          <w:color w:val="auto"/>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15.2对不符合本章第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（1）不符合其中第（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（2）不符合其中第（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15.3对符合本章第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16、投诉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16.1若对质疑答复不满意或质疑答复未在答复期限内作出，质疑人可在答复期限届满之日起</w:t>
      </w:r>
      <w:r>
        <w:rPr>
          <w:rFonts w:hint="default" w:ascii="Calibri" w:hAnsi="Calibri" w:eastAsia="宋体" w:cs="Calibri"/>
          <w:color w:val="auto"/>
          <w:sz w:val="24"/>
          <w:szCs w:val="24"/>
        </w:rPr>
        <w:t>15</w:t>
      </w:r>
      <w:r>
        <w:rPr>
          <w:rFonts w:hint="eastAsia" w:ascii="宋体" w:hAnsi="宋体" w:eastAsia="宋体" w:cs="宋体"/>
          <w:color w:val="auto"/>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八、政府采购政策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17.2节能产品指列入财政部、国家发展和改革委员会《节能产品政府采购清单》（以下简称：“节能清单”）的产品。环境标志产品指列入财政部、生态环境部《环境标志产品政府采购清单》（以下简称：“环保清单”）的产品。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（3）对于同时列入节能清单和环保清单的产品，优先于只列入其中一个清单的产品。</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17.4符合财政部、工信部文件（财库</w:t>
      </w:r>
      <w:r>
        <w:rPr>
          <w:rFonts w:hint="default" w:ascii="Calibri" w:hAnsi="Calibri" w:cs="Calibri"/>
          <w:color w:val="auto"/>
          <w:spacing w:val="0"/>
          <w:sz w:val="24"/>
          <w:szCs w:val="24"/>
        </w:rPr>
        <w:t>[2011]181</w:t>
      </w:r>
      <w:r>
        <w:rPr>
          <w:rFonts w:hint="eastAsia" w:ascii="宋体" w:hAnsi="宋体" w:eastAsia="宋体" w:cs="宋体"/>
          <w:color w:val="auto"/>
          <w:spacing w:val="0"/>
          <w:sz w:val="24"/>
          <w:szCs w:val="24"/>
        </w:rPr>
        <w:t>号）规定的</w:t>
      </w:r>
      <w:r>
        <w:rPr>
          <w:rStyle w:val="6"/>
          <w:rFonts w:hint="eastAsia" w:ascii="宋体" w:hAnsi="宋体" w:eastAsia="宋体" w:cs="宋体"/>
          <w:b/>
          <w:color w:val="auto"/>
          <w:spacing w:val="0"/>
          <w:sz w:val="24"/>
          <w:szCs w:val="24"/>
        </w:rPr>
        <w:t>小型、微型企业</w:t>
      </w:r>
      <w:r>
        <w:rPr>
          <w:rFonts w:hint="eastAsia" w:ascii="宋体" w:hAnsi="宋体" w:eastAsia="宋体" w:cs="宋体"/>
          <w:color w:val="auto"/>
          <w:spacing w:val="0"/>
          <w:sz w:val="24"/>
          <w:szCs w:val="24"/>
        </w:rPr>
        <w:t>可享受扶持政策（如：预留份额、评审中价格扣除等）。符合财政部、司法部文件（财库[2014]68号）规定的监狱企业（以下简称：</w:t>
      </w:r>
      <w:r>
        <w:rPr>
          <w:rStyle w:val="6"/>
          <w:rFonts w:hint="eastAsia" w:ascii="宋体" w:hAnsi="宋体" w:eastAsia="宋体" w:cs="宋体"/>
          <w:b/>
          <w:color w:val="auto"/>
          <w:spacing w:val="0"/>
          <w:sz w:val="24"/>
          <w:szCs w:val="24"/>
        </w:rPr>
        <w:t>“监狱企业”</w:t>
      </w:r>
      <w:r>
        <w:rPr>
          <w:rFonts w:hint="eastAsia" w:ascii="宋体" w:hAnsi="宋体" w:eastAsia="宋体" w:cs="宋体"/>
          <w:color w:val="auto"/>
          <w:spacing w:val="0"/>
          <w:sz w:val="24"/>
          <w:szCs w:val="24"/>
        </w:rPr>
        <w:t>）亦可享受前述扶持政策。符合财政部、民政部、中国残联文件（财库[2017]141号）规定的残疾人福利性单位（以下简称：</w:t>
      </w:r>
      <w:r>
        <w:rPr>
          <w:rStyle w:val="6"/>
          <w:rFonts w:hint="eastAsia" w:ascii="宋体" w:hAnsi="宋体" w:eastAsia="宋体" w:cs="宋体"/>
          <w:b/>
          <w:color w:val="auto"/>
          <w:spacing w:val="0"/>
          <w:sz w:val="24"/>
          <w:szCs w:val="24"/>
        </w:rPr>
        <w:t>“残疾人福利性单位”</w:t>
      </w:r>
      <w:r>
        <w:rPr>
          <w:rFonts w:hint="eastAsia" w:ascii="宋体" w:hAnsi="宋体" w:eastAsia="宋体" w:cs="宋体"/>
          <w:color w:val="auto"/>
          <w:spacing w:val="0"/>
          <w:sz w:val="24"/>
          <w:szCs w:val="24"/>
        </w:rPr>
        <w:t>）亦可享受前述扶持政策。其中：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（1）中小企业指同时符合下列条件的中型、小型、微型企业：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①符合《工业和信息化部、国家统计局、国家发展和改革委员会、财政部关于印发中小企业划型标准规定的通知》（工信部联企业</w:t>
      </w:r>
      <w:r>
        <w:rPr>
          <w:rFonts w:hint="default" w:ascii="Calibri" w:hAnsi="Calibri" w:cs="Calibri"/>
          <w:color w:val="auto"/>
          <w:spacing w:val="0"/>
          <w:sz w:val="24"/>
          <w:szCs w:val="24"/>
        </w:rPr>
        <w:t>[2011]300</w:t>
      </w:r>
      <w:r>
        <w:rPr>
          <w:rFonts w:hint="eastAsia" w:ascii="宋体" w:hAnsi="宋体" w:eastAsia="宋体" w:cs="宋体"/>
          <w:color w:val="auto"/>
          <w:spacing w:val="0"/>
          <w:sz w:val="24"/>
          <w:szCs w:val="24"/>
        </w:rPr>
        <w:t>号）规定的划分标准；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②监狱企业视同小型、微型企业。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（3）残疾人福利性单位指同时符合下列条件的单位：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①安置的残疾人占本单位在职职工人数的比例不低于</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（含</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），并且安置的残疾人人数不少于</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人（含</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前款所称残疾人指法定劳动年龄内，持有《中华人民共和国残疾人证》或《中华人民共和国残疾军人证（1至</w:t>
      </w:r>
      <w:r>
        <w:rPr>
          <w:rFonts w:hint="default" w:ascii="Calibri" w:hAnsi="Calibri" w:cs="Calibri"/>
          <w:color w:val="auto"/>
          <w:spacing w:val="0"/>
          <w:sz w:val="24"/>
          <w:szCs w:val="24"/>
        </w:rPr>
        <w:t>8</w:t>
      </w:r>
      <w:r>
        <w:rPr>
          <w:rFonts w:hint="eastAsia" w:ascii="宋体" w:hAnsi="宋体" w:eastAsia="宋体" w:cs="宋体"/>
          <w:color w:val="auto"/>
          <w:spacing w:val="0"/>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rPr>
        <w:t>[2016]125</w:t>
      </w:r>
      <w:r>
        <w:rPr>
          <w:rFonts w:hint="eastAsia" w:ascii="宋体" w:hAnsi="宋体" w:eastAsia="宋体" w:cs="宋体"/>
          <w:color w:val="auto"/>
          <w:spacing w:val="0"/>
          <w:sz w:val="24"/>
          <w:szCs w:val="24"/>
        </w:rPr>
        <w:t>号）规定。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九、本项目的有关信息</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十、其他事项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4"/>
        <w:keepNext w:val="0"/>
        <w:keepLines w:val="0"/>
        <w:widowControl/>
        <w:suppressLineNumbers w:val="0"/>
        <w:spacing w:before="75" w:beforeAutospacing="0" w:after="240" w:afterAutospacing="0"/>
        <w:ind w:left="0" w:right="0" w:firstLine="0"/>
        <w:rPr>
          <w:color w:val="auto"/>
        </w:rPr>
      </w:pPr>
      <w:r>
        <w:rPr>
          <w:rFonts w:hint="default" w:ascii="Calibri" w:hAnsi="Calibri" w:cs="Calibri"/>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一、资格审查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1.1资格审查小组由</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的工作人员。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7"/>
        <w:tblW w:w="830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37"/>
        <w:gridCol w:w="456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3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c>
          <w:tcPr>
            <w:tcW w:w="4568"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rPr>
          <w:color w:val="auto"/>
        </w:rPr>
      </w:pPr>
      <w:r>
        <w:rPr>
          <w:rStyle w:val="6"/>
          <w:b/>
          <w:color w:val="auto"/>
          <w:spacing w:val="0"/>
          <w:sz w:val="24"/>
          <w:szCs w:val="24"/>
        </w:rPr>
        <w:t>包：1</w:t>
      </w:r>
    </w:p>
    <w:tbl>
      <w:tblPr>
        <w:tblStyle w:val="7"/>
        <w:tblW w:w="830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37"/>
        <w:gridCol w:w="456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3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c>
          <w:tcPr>
            <w:tcW w:w="4568"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①投标人为运营商的，应具有工业和信息化部核发的《基础电信业务经营许可证》（若投标人为分支机构，则需提供所属集团公司的《基础电信业务经营许可证》复印件）；②投标人为非运营商的，应具有电子与智能化工程专业承包二级及以上资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执行本合同包所需的设备及专业技术能力特别要求</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是指提交“具备履行合同所必需设备和专业技术能力的声明函"。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所投产品如有国家强制性要求或认证的</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产品如有国家强制性要求或认证的（如：3C、强制性节能产品等），必须提供相关的证明文件或证书复印件，投标产品若为强制性节能目录内加★品目的，须提供财政部、国家发改委公布在中国政府采购网上的最新一期政府强制采购节能产品清单目录内的产品，须标明所投产品所在位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投标人须提供参加政府采购活动前在环境保护领域没有存在严重失信行为的书面声明</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是指提交“参加政府采购活动前在环境保护领域没有存在严重失信行为的书面声明函”。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特别提示</w:t>
            </w:r>
          </w:p>
        </w:tc>
        <w:tc>
          <w:tcPr>
            <w:tcW w:w="456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1、供应商在电子投标文件中提供的“单位负责人授权书”应为单位负责人有效签字或盖章的复印件(含扫描件)，否则投标无效。 2、若出现有关法律、法规和规章有强制性规定但招标文件未列明的情形，供应商应按照有关法律、法规和规章强制性规定执行，供应商参加投标即表示同意此条款。</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1.4有下列情形之一的，</w:t>
      </w:r>
      <w:r>
        <w:rPr>
          <w:rStyle w:val="6"/>
          <w:rFonts w:hint="eastAsia" w:ascii="宋体" w:hAnsi="宋体" w:eastAsia="宋体" w:cs="宋体"/>
          <w:b/>
          <w:color w:val="auto"/>
          <w:spacing w:val="0"/>
          <w:sz w:val="24"/>
          <w:szCs w:val="24"/>
        </w:rPr>
        <w:t>资格审查不合格：</w:t>
      </w:r>
      <w:r>
        <w:rPr>
          <w:rStyle w:val="6"/>
          <w:rFonts w:hint="eastAsia" w:ascii="宋体" w:hAnsi="宋体" w:eastAsia="宋体" w:cs="宋体"/>
          <w:b/>
          <w:color w:val="auto"/>
          <w:spacing w:val="0"/>
          <w:sz w:val="24"/>
          <w:szCs w:val="24"/>
        </w:rPr>
        <w:br w:type="textWrapping"/>
      </w:r>
      <w:r>
        <w:rPr>
          <w:rFonts w:hint="eastAsia" w:ascii="宋体" w:hAnsi="宋体" w:eastAsia="宋体" w:cs="宋体"/>
          <w:color w:val="auto"/>
        </w:rPr>
        <w:t>  （1）一般情形：</w:t>
      </w:r>
    </w:p>
    <w:tbl>
      <w:tblPr>
        <w:tblStyle w:val="7"/>
        <w:tblW w:w="83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06"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4"/>
        <w:keepNext w:val="0"/>
        <w:keepLines w:val="0"/>
        <w:widowControl/>
        <w:suppressLineNumbers w:val="0"/>
        <w:spacing w:before="0" w:beforeAutospacing="0" w:after="150" w:afterAutospacing="0"/>
        <w:ind w:left="0" w:right="0" w:firstLine="480"/>
        <w:rPr>
          <w:color w:val="auto"/>
        </w:rPr>
      </w:pPr>
      <w:r>
        <w:rPr>
          <w:rStyle w:val="6"/>
          <w:b/>
          <w:color w:val="auto"/>
        </w:rPr>
        <w:t>包：1</w:t>
      </w:r>
    </w:p>
    <w:tbl>
      <w:tblPr>
        <w:tblStyle w:val="7"/>
        <w:tblW w:w="83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06"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未按照招标文件规定提供具备履行合同所必需设备和专业技术能力的声明函。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未按照招标文件规定提交“参加政府采购活动前在环境保护领域没有存在严重失信行为的书面声明函”。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未按招标文件规定提交“《基础电信业务经营许可证》或电子与智能化工程专业承包二级及以上资质的证明材料。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未按招标文件要求提供“单位负责人授权书”应为单位负责人有效签字或盖章的复印件(含扫描件)，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未按招标文件要求提供所投产品如有国家强制性要求或认证的（如：3C、强制性节能产品等），必须提供相关的证明文件或证书复印件</w:t>
            </w:r>
            <w:r>
              <w:rPr>
                <w:rFonts w:ascii="宋体" w:hAnsi="宋体" w:eastAsia="宋体" w:cs="宋体"/>
                <w:color w:val="auto"/>
                <w:kern w:val="0"/>
                <w:sz w:val="24"/>
                <w:szCs w:val="24"/>
                <w:lang w:val="en-US" w:eastAsia="zh-CN" w:bidi="ar"/>
              </w:rPr>
              <w:t>，投标产品若为强制性节能目录内加★品目的，须提供财政部、国家发改委公布在中国政府采购网上的最新一期政府强制采购节能产品清单目录内的产品，须标明所投产品所在位置。</w:t>
            </w:r>
          </w:p>
        </w:tc>
      </w:tr>
    </w:tbl>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二、评标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福建宏友招标有限公司负责评标委员会的组建及评标工作的组织。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5、评标委员会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7</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6</w:t>
      </w:r>
      <w:r>
        <w:rPr>
          <w:rFonts w:hint="eastAsia" w:ascii="宋体" w:hAnsi="宋体" w:eastAsia="宋体" w:cs="宋体"/>
          <w:color w:val="auto"/>
          <w:spacing w:val="0"/>
          <w:sz w:val="24"/>
          <w:szCs w:val="24"/>
        </w:rPr>
        <w:t>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统一对外发布。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福建宏友招标有限公司</w:t>
      </w:r>
      <w:r>
        <w:rPr>
          <w:rFonts w:hint="eastAsia" w:ascii="宋体" w:hAnsi="宋体" w:eastAsia="宋体" w:cs="宋体"/>
          <w:color w:val="auto"/>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6、评标程序</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6.2符合性审查</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w:t>
      </w:r>
      <w:r>
        <w:rPr>
          <w:rStyle w:val="6"/>
          <w:rFonts w:hint="eastAsia" w:ascii="宋体" w:hAnsi="宋体" w:eastAsia="宋体" w:cs="宋体"/>
          <w:b/>
          <w:color w:val="auto"/>
          <w:spacing w:val="0"/>
          <w:sz w:val="24"/>
          <w:szCs w:val="24"/>
        </w:rPr>
        <w:t>符合性审查不合格：</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①一般情形：</w:t>
      </w:r>
    </w:p>
    <w:tbl>
      <w:tblPr>
        <w:tblStyle w:val="7"/>
        <w:tblW w:w="83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06"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Style w:val="6"/>
          <w:rFonts w:hint="eastAsia" w:ascii="宋体" w:hAnsi="宋体" w:eastAsia="宋体" w:cs="宋体"/>
          <w:b/>
          <w:color w:val="auto"/>
          <w:spacing w:val="0"/>
          <w:sz w:val="24"/>
          <w:szCs w:val="24"/>
        </w:rPr>
        <w:t>包：1</w:t>
      </w:r>
    </w:p>
    <w:tbl>
      <w:tblPr>
        <w:tblStyle w:val="7"/>
        <w:tblW w:w="83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06"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未按照招标文件规定要求签署、盖章的；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投标文件载明的招标项目交付时间超过招标文件规定或未载明招标项目交付时间的；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投标文件载明的货物包装方式、检验标准和方法等不符合招标文件要求或未载货物包装方式、检验标准和方法的；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不符合招标文件中规定的实质性要求和条件、无效投标条款的；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属于招标文件规定的符合性检查不合格情形；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投标文件的技术商务部分中出现报价部分的全部或部分的投标报价信息(或组成资料)。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未按照招标文件要求提供投标文件报价部分的投标分项报价表的；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0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投标文件技术部分的实际得分少于招标文件设定的技术部分总分50%的。</w:t>
            </w:r>
          </w:p>
        </w:tc>
      </w:tr>
    </w:tbl>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6.3澄清有关问题</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※同时出现两种以上不一致的，按照前款规定的顺序修正。修正后的报价应按照本章第</w:t>
      </w:r>
      <w:r>
        <w:rPr>
          <w:rStyle w:val="6"/>
          <w:rFonts w:hint="default" w:ascii="Calibri" w:hAnsi="Calibri" w:cs="Calibri"/>
          <w:b/>
          <w:color w:val="auto"/>
          <w:spacing w:val="0"/>
          <w:sz w:val="24"/>
          <w:szCs w:val="24"/>
        </w:rPr>
        <w:t>6.3</w:t>
      </w:r>
      <w:r>
        <w:rPr>
          <w:rStyle w:val="6"/>
          <w:rFonts w:hint="eastAsia" w:ascii="宋体" w:hAnsi="宋体" w:eastAsia="宋体" w:cs="宋体"/>
          <w:b/>
          <w:color w:val="auto"/>
          <w:spacing w:val="0"/>
          <w:sz w:val="24"/>
          <w:szCs w:val="24"/>
        </w:rPr>
        <w:t>条第（</w:t>
      </w:r>
      <w:r>
        <w:rPr>
          <w:rStyle w:val="6"/>
          <w:rFonts w:hint="default" w:ascii="Calibri" w:hAnsi="Calibri" w:cs="Calibri"/>
          <w:b/>
          <w:color w:val="auto"/>
          <w:spacing w:val="0"/>
          <w:sz w:val="24"/>
          <w:szCs w:val="24"/>
        </w:rPr>
        <w:t>1</w:t>
      </w:r>
      <w:r>
        <w:rPr>
          <w:rStyle w:val="6"/>
          <w:rFonts w:hint="eastAsia" w:ascii="宋体" w:hAnsi="宋体" w:eastAsia="宋体" w:cs="宋体"/>
          <w:b/>
          <w:color w:val="auto"/>
          <w:spacing w:val="0"/>
          <w:sz w:val="24"/>
          <w:szCs w:val="24"/>
        </w:rPr>
        <w:t>）、（</w:t>
      </w:r>
      <w:r>
        <w:rPr>
          <w:rStyle w:val="6"/>
          <w:rFonts w:hint="default" w:ascii="Calibri" w:hAnsi="Calibri" w:cs="Calibri"/>
          <w:b/>
          <w:color w:val="auto"/>
          <w:spacing w:val="0"/>
          <w:sz w:val="24"/>
          <w:szCs w:val="24"/>
        </w:rPr>
        <w:t>2</w:t>
      </w:r>
      <w:r>
        <w:rPr>
          <w:rStyle w:val="6"/>
          <w:rFonts w:hint="eastAsia" w:ascii="宋体" w:hAnsi="宋体" w:eastAsia="宋体" w:cs="宋体"/>
          <w:b/>
          <w:color w:val="auto"/>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（4）关于细微偏差</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①投标描述前后不一致且不涉及证明材料的：按照本章第</w:t>
      </w:r>
      <w:r>
        <w:rPr>
          <w:rFonts w:hint="default" w:ascii="Calibri" w:hAnsi="Calibri" w:cs="Calibri"/>
          <w:color w:val="auto"/>
          <w:spacing w:val="0"/>
          <w:sz w:val="24"/>
          <w:szCs w:val="24"/>
        </w:rPr>
        <w:t>6.3</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）款规定执行。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6.4比较与评价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（1）按照本章第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（2）关于相同品牌产品</w:t>
      </w:r>
      <w:r>
        <w:rPr>
          <w:rStyle w:val="6"/>
          <w:rFonts w:hint="eastAsia" w:ascii="宋体" w:hAnsi="宋体" w:eastAsia="宋体" w:cs="宋体"/>
          <w:b/>
          <w:color w:val="auto"/>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w:t>
      </w:r>
      <w:r>
        <w:rPr>
          <w:rStyle w:val="6"/>
          <w:rFonts w:hint="eastAsia" w:ascii="宋体" w:hAnsi="宋体" w:eastAsia="宋体" w:cs="宋体"/>
          <w:b/>
          <w:color w:val="auto"/>
          <w:spacing w:val="0"/>
          <w:sz w:val="24"/>
          <w:szCs w:val="24"/>
        </w:rPr>
        <w:t>投标无效。</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③非单一产品采购项目，多家投标人提供的核心产品品牌相同的，按照本章第</w:t>
      </w:r>
      <w:r>
        <w:rPr>
          <w:rFonts w:hint="default" w:ascii="Calibri" w:hAnsi="Calibri" w:cs="Calibri"/>
          <w:color w:val="auto"/>
          <w:spacing w:val="0"/>
          <w:sz w:val="24"/>
          <w:szCs w:val="24"/>
        </w:rPr>
        <w:t>6.4</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）款第①、②规定处理。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（3）漏（缺）项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6.5推荐中标候选人：详见本章第</w:t>
      </w:r>
      <w:r>
        <w:rPr>
          <w:rFonts w:hint="default" w:ascii="Calibri" w:hAnsi="Calibri" w:cs="Calibri"/>
          <w:color w:val="auto"/>
          <w:spacing w:val="0"/>
          <w:sz w:val="24"/>
          <w:szCs w:val="24"/>
        </w:rPr>
        <w:t>7.2</w:t>
      </w:r>
      <w:r>
        <w:rPr>
          <w:rFonts w:hint="eastAsia" w:ascii="宋体" w:hAnsi="宋体" w:eastAsia="宋体" w:cs="宋体"/>
          <w:color w:val="auto"/>
          <w:spacing w:val="0"/>
          <w:sz w:val="24"/>
          <w:szCs w:val="24"/>
        </w:rPr>
        <w:t>条规定。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6.6编写评标报告</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③评标方法和标准；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处理。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6"/>
          <w:rFonts w:hint="eastAsia" w:ascii="宋体" w:hAnsi="宋体" w:eastAsia="宋体" w:cs="宋体"/>
          <w:b/>
          <w:color w:val="auto"/>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6"/>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（1）恶意串通（包括但不限于招标文件第三章第</w:t>
      </w:r>
      <w:r>
        <w:rPr>
          <w:rFonts w:hint="default" w:ascii="Calibri" w:hAnsi="Calibri" w:cs="Calibri"/>
          <w:color w:val="auto"/>
          <w:spacing w:val="0"/>
          <w:sz w:val="24"/>
          <w:szCs w:val="24"/>
        </w:rPr>
        <w:t>9.7</w:t>
      </w:r>
      <w:r>
        <w:rPr>
          <w:rFonts w:hint="eastAsia" w:ascii="宋体" w:hAnsi="宋体" w:eastAsia="宋体" w:cs="宋体"/>
          <w:color w:val="auto"/>
          <w:spacing w:val="0"/>
          <w:sz w:val="24"/>
          <w:szCs w:val="24"/>
        </w:rPr>
        <w:t>条规定情形）；</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rPr>
          <w:color w:val="auto"/>
        </w:rPr>
      </w:pPr>
      <w:r>
        <w:rPr>
          <w:rStyle w:val="6"/>
          <w:rFonts w:hint="eastAsia" w:ascii="宋体" w:hAnsi="宋体" w:eastAsia="宋体" w:cs="宋体"/>
          <w:b/>
          <w:color w:val="auto"/>
          <w:spacing w:val="0"/>
          <w:sz w:val="24"/>
          <w:szCs w:val="24"/>
        </w:rPr>
        <w:t>※若废标，则本次采购活动结束，</w:t>
      </w:r>
      <w:r>
        <w:rPr>
          <w:rFonts w:hint="eastAsia" w:ascii="宋体" w:hAnsi="宋体" w:eastAsia="宋体" w:cs="宋体"/>
          <w:color w:val="auto"/>
          <w:spacing w:val="0"/>
          <w:sz w:val="24"/>
          <w:szCs w:val="24"/>
          <w:u w:val="single"/>
        </w:rPr>
        <w:t>福建宏友招标有限公司</w:t>
      </w:r>
      <w:r>
        <w:rPr>
          <w:rStyle w:val="6"/>
          <w:rFonts w:hint="eastAsia" w:ascii="宋体" w:hAnsi="宋体" w:eastAsia="宋体" w:cs="宋体"/>
          <w:b/>
          <w:color w:val="auto"/>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7、评标方法和标准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7.1评标方法：</w:t>
      </w:r>
      <w:r>
        <w:rPr>
          <w:color w:val="auto"/>
          <w:spacing w:val="0"/>
          <w:sz w:val="24"/>
          <w:szCs w:val="24"/>
        </w:rPr>
        <w:t> 合同包1采用综合评分法。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7.2评标标准</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auto"/>
          <w:sz w:val="19"/>
          <w:szCs w:val="19"/>
        </w:rPr>
      </w:pPr>
      <w:r>
        <w:rPr>
          <w:rStyle w:val="6"/>
          <w:rFonts w:hint="eastAsia" w:ascii="宋体" w:hAnsi="宋体" w:eastAsia="宋体" w:cs="宋体"/>
          <w:b/>
          <w:color w:val="auto"/>
          <w:sz w:val="24"/>
          <w:szCs w:val="24"/>
          <w:shd w:val="clear" w:fill="FFFFFF"/>
        </w:rPr>
        <w:t>合同包1采用综合评分法</w:t>
      </w:r>
      <w:r>
        <w:rPr>
          <w:rFonts w:hint="eastAsia" w:ascii="宋体" w:hAnsi="宋体" w:eastAsia="宋体" w:cs="宋体"/>
          <w:color w:val="auto"/>
          <w:sz w:val="24"/>
          <w:szCs w:val="24"/>
          <w:shd w:val="clear" w:fill="FFFFFF"/>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（3）各项评审因素的设置如下：</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30</w:t>
      </w:r>
      <w:r>
        <w:rPr>
          <w:rFonts w:hint="eastAsia" w:ascii="宋体" w:hAnsi="宋体" w:eastAsia="宋体" w:cs="宋体"/>
          <w:color w:val="auto"/>
          <w:sz w:val="24"/>
          <w:szCs w:val="24"/>
        </w:rPr>
        <w:t>分。</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p>
    <w:p>
      <w:pPr>
        <w:pStyle w:val="4"/>
        <w:keepNext w:val="0"/>
        <w:keepLines w:val="0"/>
        <w:widowControl/>
        <w:suppressLineNumbers w:val="0"/>
        <w:spacing w:before="0" w:beforeAutospacing="0" w:after="150" w:afterAutospacing="0"/>
        <w:ind w:left="0" w:righ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tbl>
      <w:tblPr>
        <w:tblStyle w:val="7"/>
        <w:tblW w:w="83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6"/>
        <w:gridCol w:w="746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4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4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4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46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Style w:val="6"/>
                <w:rFonts w:ascii="宋体" w:hAnsi="宋体" w:eastAsia="宋体" w:cs="宋体"/>
                <w:b/>
                <w:color w:val="auto"/>
                <w:kern w:val="0"/>
                <w:sz w:val="24"/>
                <w:szCs w:val="24"/>
                <w:lang w:val="en-US" w:eastAsia="zh-CN" w:bidi="ar"/>
              </w:rPr>
              <w:t>1、对小型、微型企业产品（限货物）的价格给予6%的扣除。参加政府采购活动的中小企业应当提供《政府采购促进中小企业发展暂行办法》规定的《中小企业声明函》(见第七章投标文件格式)。政府采购对中小企业的认定，由企业所在地的县级以上中小企业主管部门负责。须提供中小企业主管部门的证明函，否则不予价格扣除。 2、对监狱企业产品（限货物）的价格给予6%的扣除。监狱企业参加政府采购活动时，应当提供由省级以上监狱管理局、戒毒管理局(含新疆生产建设兵团)出具的属于监狱企业的证明文件，否则不予价格扣除。注：投标人在报价时必须对提供本企业制造的货物，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3、残疾人福利性单位提供本单位制造的货物、承担的工程或服务，或提供其他残疾人福利性单位制造的货物（不包括使用非残疾人福利性单位注册商标的货物），对相应货物、工程或服务的价格给予10%的扣除。残疾人福利性单位属于小型、微型企业的，不重复享受政策。</w:t>
            </w:r>
          </w:p>
        </w:tc>
      </w:tr>
    </w:tbl>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55</w:t>
      </w:r>
      <w:r>
        <w:rPr>
          <w:rFonts w:hint="eastAsia" w:ascii="宋体" w:hAnsi="宋体" w:eastAsia="宋体" w:cs="宋体"/>
          <w:color w:val="auto"/>
          <w:sz w:val="24"/>
          <w:szCs w:val="24"/>
        </w:rPr>
        <w:t>分。</w:t>
      </w:r>
    </w:p>
    <w:tbl>
      <w:tblPr>
        <w:tblStyle w:val="7"/>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31"/>
        <w:gridCol w:w="341"/>
        <w:gridCol w:w="7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rPr>
        <w:tc>
          <w:tcPr>
            <w:tcW w:w="431"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341"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533"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1"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技术性能和功能</w:t>
            </w:r>
          </w:p>
        </w:tc>
        <w:tc>
          <w:tcPr>
            <w:tcW w:w="341"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55</w:t>
            </w:r>
          </w:p>
        </w:tc>
        <w:tc>
          <w:tcPr>
            <w:tcW w:w="7533"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委员会将依据投标人所投设备性能以及技术参数和设备质量对招标文件各项基础要求（技术和服务要求）的逐项响应承诺等各方面情况由评委进行评分，投标人所投设备完全满足招标文件技术规范及要求的，得55分，有负偏离情况的，评标委员会将根据该技术参数的负偏离对所投设备的使用影响程度进行以下扣分：标注“▲”的技术参数每负偏离一项扣3分；未标注“▲”的技术参数每负偏离一项扣1分，扣完为止，正偏离不加分。出现负偏离时须在《技术规格和商务偏离表》中列明偏离情况，否则视为无效投标。（满分55分）</w:t>
            </w:r>
          </w:p>
        </w:tc>
      </w:tr>
    </w:tbl>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15</w:t>
      </w:r>
      <w:r>
        <w:rPr>
          <w:rFonts w:hint="eastAsia" w:ascii="宋体" w:hAnsi="宋体" w:eastAsia="宋体" w:cs="宋体"/>
          <w:color w:val="auto"/>
          <w:sz w:val="24"/>
          <w:szCs w:val="24"/>
        </w:rPr>
        <w:t>分。</w:t>
      </w:r>
    </w:p>
    <w:tbl>
      <w:tblPr>
        <w:tblStyle w:val="7"/>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71"/>
        <w:gridCol w:w="34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Header/>
        </w:trPr>
        <w:tc>
          <w:tcPr>
            <w:tcW w:w="471"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restart"/>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投标人综合实力</w:t>
            </w: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1.为确保售后服务质量，投标人每提供一名售后人员CCIE证书的得1分，满分3分，未提供不得分。（须提供投标截止前连续六个月由投标人为其缴纳社会保险的证明材料和证书复印件，原件备查。）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continue"/>
            <w:shd w:val="clear" w:color="auto" w:fill="FFFFFF"/>
            <w:vAlign w:val="center"/>
          </w:tcPr>
          <w:p>
            <w:pPr>
              <w:rPr>
                <w:rFonts w:hint="eastAsia" w:ascii="宋体"/>
                <w:color w:val="auto"/>
                <w:sz w:val="24"/>
                <w:szCs w:val="24"/>
              </w:rPr>
            </w:pP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2.根据投标人提供拟投入本项目人员具有高级工程师资质证书的每提供1名得0.5分，满分1分。（须提供投标截止前连续六个月由投标人为其缴纳社会保险的证明材料和证书复印件，原件备查。）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restart"/>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所投产品综合情况</w:t>
            </w: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1.根据投标人提供所投的硬盘录像机设备厂商拥有国家相关部委认定的重点实验室的得1分，其他不得分。（投标时提供有效证明材料复印件作为佐证材料，原件备查）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continue"/>
            <w:shd w:val="clear" w:color="auto" w:fill="FFFFFF"/>
            <w:vAlign w:val="center"/>
          </w:tcPr>
          <w:p>
            <w:pPr>
              <w:rPr>
                <w:rFonts w:hint="eastAsia" w:ascii="宋体"/>
                <w:color w:val="auto"/>
                <w:sz w:val="24"/>
                <w:szCs w:val="24"/>
              </w:rPr>
            </w:pP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2.根据投标人提供所投的硬盘录像机设备厂商获得省级或以上经信委评定的“管理创新示范企业”的得1分，其他不得分。（投标时提供有效证明材料复印件作为佐证材料，原件备查）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continue"/>
            <w:shd w:val="clear" w:color="auto" w:fill="FFFFFF"/>
            <w:vAlign w:val="center"/>
          </w:tcPr>
          <w:p>
            <w:pPr>
              <w:rPr>
                <w:rFonts w:hint="eastAsia" w:ascii="宋体"/>
                <w:color w:val="auto"/>
                <w:sz w:val="24"/>
                <w:szCs w:val="24"/>
              </w:rPr>
            </w:pP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3.根据投标人提供所投的硬盘录像机设备厂商获得国家信息安全漏洞库（CNNVD）技术支撑单位一级证书的得1分，其他不得分（投标时提供有效证明材料复印件作为佐证材料，原件备查）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continue"/>
            <w:shd w:val="clear" w:color="auto" w:fill="FFFFFF"/>
            <w:vAlign w:val="center"/>
          </w:tcPr>
          <w:p>
            <w:pPr>
              <w:rPr>
                <w:rFonts w:hint="eastAsia" w:ascii="宋体"/>
                <w:color w:val="auto"/>
                <w:sz w:val="24"/>
                <w:szCs w:val="24"/>
              </w:rPr>
            </w:pP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4.根据投标人提供所投的服务器防火墙交换机产品制造商获信息系统安全集成（一级）的得1分，其他不得分。（投标时提供有效证明材料复印件作为佐证材料，原件备查）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continue"/>
            <w:shd w:val="clear" w:color="auto" w:fill="FFFFFF"/>
            <w:vAlign w:val="center"/>
          </w:tcPr>
          <w:p>
            <w:pPr>
              <w:rPr>
                <w:rFonts w:hint="eastAsia" w:ascii="宋体"/>
                <w:color w:val="auto"/>
                <w:sz w:val="24"/>
                <w:szCs w:val="24"/>
              </w:rPr>
            </w:pP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5.根据投标人提供所投的服务器、防火墙、交换机产品制造商获得信息安全应急处理服务资质认证证书（一级）的得1分，其他不得分。（投标时提供有效证明材料复印件作为佐证材料，原件备查）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restart"/>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售后服务</w:t>
            </w: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7488" w:type="dxa"/>
            <w:shd w:val="clear" w:color="auto" w:fill="FFFFFF"/>
            <w:vAlign w:val="center"/>
          </w:tcPr>
          <w:p>
            <w:pPr>
              <w:keepNext w:val="0"/>
              <w:keepLines w:val="0"/>
              <w:widowControl/>
              <w:suppressLineNumbers w:val="0"/>
              <w:jc w:val="left"/>
              <w:rPr>
                <w:rFonts w:hint="eastAsia" w:eastAsia="宋体"/>
                <w:color w:val="auto"/>
                <w:lang w:val="en-US" w:eastAsia="zh-CN"/>
              </w:rPr>
            </w:pPr>
            <w:r>
              <w:rPr>
                <w:rFonts w:ascii="宋体" w:hAnsi="宋体" w:eastAsia="宋体" w:cs="宋体"/>
                <w:color w:val="auto"/>
                <w:kern w:val="0"/>
                <w:sz w:val="24"/>
                <w:szCs w:val="24"/>
                <w:lang w:val="en-US" w:eastAsia="zh-CN" w:bidi="ar"/>
              </w:rPr>
              <w:t>1.根据投标人所在地与项目所在地的直线距离进行打分，距离＜5KM的得1分，5KM≤距离≤10KM的得0.5分。以投标人营业执照上地址为准,需提供营业执照复印件及百度地图直线测距结果截图并加盖公章</w:t>
            </w:r>
            <w:r>
              <w:rPr>
                <w:rFonts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(定位基准点：梅峰山地公园）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vMerge w:val="continue"/>
            <w:shd w:val="clear" w:color="auto" w:fill="FFFFFF"/>
            <w:vAlign w:val="center"/>
          </w:tcPr>
          <w:p>
            <w:pPr>
              <w:rPr>
                <w:rFonts w:hint="eastAsia" w:ascii="宋体"/>
                <w:color w:val="auto"/>
                <w:sz w:val="24"/>
                <w:szCs w:val="24"/>
              </w:rPr>
            </w:pP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2.根据投标人提供完善的售后服务体系和措施方案，由专家评委横向评议并在0-2分之间进行打分（满分2分）；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71"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同类项目经验</w:t>
            </w:r>
          </w:p>
        </w:tc>
        <w:tc>
          <w:tcPr>
            <w:tcW w:w="346"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7488" w:type="dxa"/>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根据投标人提供近两年（2017年1月1日以来、日期以合同签订为准） 由投标人自身完成的生态公园或休闲步道工程项目等同类业绩单项合同额≥400万的得3分，300万≤单项合同额＜400万的得2分，200万≤单项合同额＜300万的得1分。【投标人须列表并提供该业绩项目的中标公告（提供相关网站中标公告的下载网页并注明网址）、中标通知书复印件、采购合同文本复印件、验收报告或者满意度证明材料复印件，所有材料缺一不可，否则不得分。原件备查。】（满分3分）</w:t>
            </w:r>
          </w:p>
        </w:tc>
      </w:tr>
    </w:tbl>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a.优先类节能产品、环境标志产品：</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p>
    <w:tbl>
      <w:tblPr>
        <w:tblStyle w:val="7"/>
        <w:tblW w:w="8305" w:type="dxa"/>
        <w:tblInd w:w="0" w:type="dxa"/>
        <w:shd w:val="clear" w:color="auto" w:fill="auto"/>
        <w:tblLayout w:type="fixed"/>
        <w:tblCellMar>
          <w:top w:w="0" w:type="dxa"/>
          <w:left w:w="0" w:type="dxa"/>
          <w:bottom w:w="0" w:type="dxa"/>
          <w:right w:w="0" w:type="dxa"/>
        </w:tblCellMar>
      </w:tblPr>
      <w:tblGrid>
        <w:gridCol w:w="765"/>
        <w:gridCol w:w="432"/>
        <w:gridCol w:w="7108"/>
      </w:tblGrid>
      <w:tr>
        <w:tblPrEx>
          <w:shd w:val="clear" w:color="auto" w:fill="auto"/>
          <w:tblLayout w:type="fixed"/>
          <w:tblCellMar>
            <w:top w:w="0" w:type="dxa"/>
            <w:left w:w="0" w:type="dxa"/>
            <w:bottom w:w="0" w:type="dxa"/>
            <w:right w:w="0" w:type="dxa"/>
          </w:tblCellMar>
        </w:tblPrEx>
        <w:trPr>
          <w:tblHeader/>
        </w:trPr>
        <w:tc>
          <w:tcPr>
            <w:tcW w:w="7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43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71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shd w:val="clear" w:color="auto" w:fill="auto"/>
          <w:tblLayout w:type="fixed"/>
          <w:tblCellMar>
            <w:top w:w="0" w:type="dxa"/>
            <w:left w:w="0" w:type="dxa"/>
            <w:bottom w:w="0" w:type="dxa"/>
            <w:right w:w="0" w:type="dxa"/>
          </w:tblCellMar>
        </w:tblPrEx>
        <w:tc>
          <w:tcPr>
            <w:tcW w:w="7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节能、减排、环境标志产品部分</w:t>
            </w:r>
          </w:p>
        </w:tc>
        <w:tc>
          <w:tcPr>
            <w:tcW w:w="43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6.8</w:t>
            </w:r>
          </w:p>
        </w:tc>
        <w:tc>
          <w:tcPr>
            <w:tcW w:w="710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液晶显示器，制冷压缩机，空调机组，专用制冷、空调隔离栏，镇流器，空调机，电热水器，普通照明用双端荧光灯，电视隔离栏，视频隔离栏，便器，水嘴等品目为政府强制采购的节能产品(具体品目以“★”标注)，若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非强制类）环境标志产品描述情况与此处不一致，以此处为准)</w:t>
            </w:r>
          </w:p>
        </w:tc>
      </w:tr>
    </w:tbl>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（4）中标候选人排列规则顺序如下：</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8、其他规定</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8.4其他：</w:t>
      </w:r>
      <w:r>
        <w:rPr>
          <w:color w:val="auto"/>
          <w:spacing w:val="0"/>
          <w:sz w:val="24"/>
          <w:szCs w:val="24"/>
        </w:rPr>
        <w:t>无</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第五章</w:t>
      </w:r>
      <w:r>
        <w:rPr>
          <w:rStyle w:val="6"/>
          <w:b/>
          <w:color w:val="auto"/>
          <w:spacing w:val="0"/>
          <w:sz w:val="31"/>
          <w:szCs w:val="31"/>
        </w:rPr>
        <w:t>   </w:t>
      </w:r>
      <w:r>
        <w:rPr>
          <w:rStyle w:val="6"/>
          <w:rFonts w:hint="eastAsia" w:ascii="宋体" w:hAnsi="宋体" w:eastAsia="宋体" w:cs="宋体"/>
          <w:b/>
          <w:color w:val="auto"/>
          <w:spacing w:val="0"/>
          <w:sz w:val="31"/>
          <w:szCs w:val="31"/>
        </w:rPr>
        <w:t>招标内容及要求</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一、项目概况（采购标的）</w:t>
      </w:r>
    </w:p>
    <w:p>
      <w:pPr>
        <w:pStyle w:val="4"/>
        <w:keepNext w:val="0"/>
        <w:keepLines w:val="0"/>
        <w:widowControl/>
        <w:suppressLineNumbers w:val="0"/>
        <w:spacing w:before="75" w:beforeAutospacing="0" w:after="75" w:afterAutospacing="0" w:line="495" w:lineRule="atLeast"/>
        <w:ind w:left="0" w:right="0" w:firstLine="480"/>
        <w:rPr>
          <w:color w:val="auto"/>
        </w:rPr>
      </w:pPr>
      <w:r>
        <w:rPr>
          <w:rFonts w:hint="eastAsia" w:ascii="宋体" w:hAnsi="宋体" w:eastAsia="宋体" w:cs="宋体"/>
          <w:color w:val="auto"/>
          <w:spacing w:val="0"/>
          <w:sz w:val="24"/>
          <w:szCs w:val="24"/>
        </w:rPr>
        <w:t>1、供 应 商为本次项目提供的货物必须通过合法渠道获得，具有在中国境内的合法使用权和用户保护权，且要求货物所配模块及配件为原厂配件，货物的制造标准及技术规范等有关资料必须符合相关标准、规范要求。</w:t>
      </w:r>
    </w:p>
    <w:p>
      <w:pPr>
        <w:pStyle w:val="4"/>
        <w:keepNext w:val="0"/>
        <w:keepLines w:val="0"/>
        <w:widowControl/>
        <w:suppressLineNumbers w:val="0"/>
        <w:spacing w:before="75" w:beforeAutospacing="0" w:after="75" w:afterAutospacing="0" w:line="495" w:lineRule="atLeast"/>
        <w:ind w:left="0" w:right="0" w:firstLine="480"/>
        <w:rPr>
          <w:color w:val="auto"/>
        </w:rPr>
      </w:pPr>
      <w:r>
        <w:rPr>
          <w:rFonts w:hint="eastAsia" w:ascii="宋体" w:hAnsi="宋体" w:eastAsia="宋体" w:cs="宋体"/>
          <w:color w:val="auto"/>
          <w:spacing w:val="0"/>
          <w:sz w:val="24"/>
          <w:szCs w:val="24"/>
        </w:rPr>
        <w:t>2、</w:t>
      </w:r>
      <w:r>
        <w:rPr>
          <w:rFonts w:hint="eastAsia" w:ascii="宋体" w:hAnsi="宋体" w:eastAsia="宋体" w:cs="宋体"/>
          <w:color w:val="auto"/>
          <w:spacing w:val="0"/>
          <w:sz w:val="24"/>
          <w:szCs w:val="24"/>
          <w:shd w:val="clear" w:fill="FFFFFF"/>
        </w:rPr>
        <w:t>以“◆”标识为本项目的核心产品。</w:t>
      </w:r>
      <w:r>
        <w:rPr>
          <w:rFonts w:hint="eastAsia" w:ascii="宋体" w:hAnsi="宋体" w:eastAsia="宋体" w:cs="宋体"/>
          <w:color w:val="auto"/>
          <w:spacing w:val="0"/>
          <w:sz w:val="24"/>
          <w:szCs w:val="24"/>
        </w:rPr>
        <w:t>本次采购项目的核心产品为技术和服务要求中序号31：监控摄像设备：</w:t>
      </w:r>
      <w:r>
        <w:rPr>
          <w:rFonts w:hint="eastAsia" w:ascii="宋体" w:hAnsi="宋体" w:eastAsia="宋体" w:cs="宋体"/>
          <w:color w:val="auto"/>
          <w:spacing w:val="0"/>
          <w:sz w:val="24"/>
          <w:szCs w:val="24"/>
          <w:highlight w:val="none"/>
        </w:rPr>
        <w:t>（1）室外高速球；</w:t>
      </w:r>
      <w:r>
        <w:rPr>
          <w:rFonts w:hint="eastAsia" w:ascii="宋体" w:hAnsi="宋体" w:eastAsia="宋体" w:cs="宋体"/>
          <w:color w:val="auto"/>
          <w:spacing w:val="0"/>
          <w:sz w:val="24"/>
          <w:szCs w:val="24"/>
        </w:rPr>
        <w:t>若提供相同品 牌产品的不同投标人参加同一合同项下投标的，按招标文件相关规定执行。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二、技术和服务要求</w:t>
      </w:r>
      <w:r>
        <w:rPr>
          <w:rStyle w:val="6"/>
          <w:rFonts w:hint="eastAsia" w:ascii="宋体" w:hAnsi="宋体" w:eastAsia="宋体" w:cs="宋体"/>
          <w:b/>
          <w:color w:val="auto"/>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rPr>
          <w:color w:val="auto"/>
        </w:rPr>
      </w:pPr>
      <w:r>
        <w:rPr>
          <w:rStyle w:val="6"/>
          <w:rFonts w:hint="eastAsia" w:ascii="宋体" w:hAnsi="宋体" w:eastAsia="宋体" w:cs="宋体"/>
          <w:b/>
          <w:color w:val="auto"/>
          <w:sz w:val="24"/>
          <w:szCs w:val="24"/>
        </w:rPr>
        <w:t>(一）技术要求和服务要求</w:t>
      </w:r>
    </w:p>
    <w:tbl>
      <w:tblPr>
        <w:tblStyle w:val="7"/>
        <w:tblW w:w="1012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72"/>
        <w:gridCol w:w="734"/>
        <w:gridCol w:w="18"/>
        <w:gridCol w:w="7232"/>
        <w:gridCol w:w="452"/>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序号</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项目名 称</w:t>
            </w:r>
          </w:p>
        </w:tc>
        <w:tc>
          <w:tcPr>
            <w:tcW w:w="7232" w:type="dxa"/>
            <w:shd w:val="clear" w:color="auto" w:fill="FFFFFF"/>
            <w:vAlign w:val="bottom"/>
          </w:tcPr>
          <w:p>
            <w:pPr>
              <w:pStyle w:val="4"/>
              <w:keepNext w:val="0"/>
              <w:keepLines w:val="0"/>
              <w:widowControl/>
              <w:suppressLineNumbers w:val="0"/>
              <w:spacing w:before="0" w:beforeAutospacing="0" w:after="150" w:afterAutospacing="0"/>
              <w:ind w:left="0" w:right="0"/>
              <w:jc w:val="center"/>
              <w:textAlignment w:val="bottom"/>
              <w:rPr>
                <w:color w:val="auto"/>
              </w:rPr>
            </w:pPr>
            <w:r>
              <w:rPr>
                <w:rFonts w:hint="eastAsia" w:ascii="宋体" w:hAnsi="宋体" w:eastAsia="宋体" w:cs="宋体"/>
                <w:color w:val="auto"/>
                <w:sz w:val="24"/>
                <w:szCs w:val="24"/>
              </w:rPr>
              <w:t>项目特征描述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单位</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智能化工程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智慧公园平台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服务器</w:t>
            </w:r>
          </w:p>
        </w:tc>
        <w:tc>
          <w:tcPr>
            <w:tcW w:w="7232" w:type="dxa"/>
            <w:shd w:val="clear" w:color="auto" w:fill="FFFFFF"/>
            <w:vAlign w:val="top"/>
          </w:tcPr>
          <w:p>
            <w:pPr>
              <w:pStyle w:val="4"/>
              <w:keepNext w:val="0"/>
              <w:keepLines w:val="0"/>
              <w:widowControl/>
              <w:suppressLineNumbers w:val="0"/>
              <w:spacing w:before="0" w:beforeAutospacing="0" w:after="150" w:afterAutospacing="0"/>
              <w:ind w:left="0" w:right="0"/>
              <w:textAlignment w:val="top"/>
              <w:rPr>
                <w:color w:val="auto"/>
              </w:rPr>
            </w:pPr>
            <w:r>
              <w:rPr>
                <w:rFonts w:hint="eastAsia" w:ascii="宋体" w:hAnsi="宋体" w:eastAsia="宋体" w:cs="宋体"/>
                <w:color w:val="auto"/>
                <w:sz w:val="24"/>
                <w:szCs w:val="24"/>
              </w:rPr>
              <w:t>(1)数据库服务器：4U机架式；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处理器：≥配置4个Intel Xeon E7-4800 V3 系列处理器（≥2.0GHZ主频，≥八核）或以上。</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内存：支持内存类型：ECC内存，配置≥64GB DDR4 LV-DIMM。支持内存保护技术，支持内存镜像，支持双高内存。最多支持≥48内存槽位，最大可支持内存容量≥3TB。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硬盘：配置≥2块2.5寸300GB SAS 15K热拔插硬盘和2块2.5寸2TB SATA 7.2K热拔插硬盘。最大可支持23个硬盘。配置磁盘阵列卡，1GB缓存，支持RAID0,1,5，6，10，50，60，本期配置8盘位机箱。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集成网口：配置4*GE以太电口卡，可灵活配置为2*10GE光口网卡。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I/O扩展：支持最多达12个PCIe扩展槽位，提供高可用的I/O扩展空间。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电源：配置≥4个1200W热插拔冗余1+1电源，并提供配套的电源连接线。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管理维护功能：可管理和维护性:1.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可实现与操作系统无关的远程对服务器的完全控制，包括远程的开机、关机、重启、虚拟软驱、虚拟光驱等操作。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要求提供为期三年原厂商硬件支持服务。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高扩展性：要求支持与服务器品 牌一致的PCI-E SSD高性能存储卡扩展，便于后期扩展，并提供官网彩页。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运维：为了便于定位问题，要求主板支持黑匣子功能，支持KVM录像功能，并提供截图证明文件。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节能和易用性：便于客户易于运维管理，BIOS 菜单提供节能选项，要求支持BIOS中文界面。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为保证服务器运维安全性能，需要提供自研管理芯片。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提供运维管控系统，对服务器进行状态监控，包括对服务器延迟监测控，丢包率监测，在线时长监测；支持扩展短信告警功能、发现速率丢包、延迟高可用及时告警；支持管控50个设备或用户节点；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自带系统备份还原软件，具有自主知识产权，实现WindOWS、Linux操作系统的本地及网络备份还原功能支持USB移动硬盘备份设备，支持数据压结、克隆技术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 和交换机、防火墙同一品 牌</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服务器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(1)应用服务器规格：2U机架式。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处理器：配置≥2个Intel Xeon E5-2609 V4 系列处理器（≥1.7GHZ主频，≥8核）。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内存：支持内存类型：ECC DDR4  RDIMM /LRDIMM内存插槽，配置≥2条16GB 2400MHz  DDR4 LV-DIMM。支持内存保护技术，支持内存镜像，支持双高内存。支持≥24个内存槽位，最大支持1.5TB内存。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硬盘：配置≥2块2.5寸300GB  SAS  10K热拔插硬盘。本次配置8盘位，支持≥28个硬盘槽位。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RAID卡：配置磁盘阵列卡，支持RAID0,1,10,5,50,6,60，带1G Cache。</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网卡：配置1块2*GE以太电口卡，可灵活配置为2*10GE光口网卡。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I/O扩展：支持最多达9个PCIe扩展槽位，提供高可用的I/O扩展空间。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电源：配置≥2个460W热插拔冗余电源。并提供配套的电源连接线。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管理维护功能：可管理和维护性:1.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可实现与操作系统无关的远程对服务器的完全控制，包括远程的开机、关机、重启、虚拟软驱、虚拟光驱等操作。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要求提供为期三年原厂商硬件支持服务。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高扩展性：要求支持与服务器品 牌一致的PCI-E SSD高性能存储卡扩展，便于后期扩展。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运维：为了便于定位问题，要求主板支持黑匣子功能，支持KVM录像功能。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节能和易用性：便于客户易于运维管理，BIOS 菜单提供节能选项，要求支持BIOS中文界面。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为保证服务器运维安全性能，需要提供自研管理芯片，并提供原厂文档说明证明文件。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自带系统备份还原软件，具有自主知识产权，实现WindOWS、Linux操作系统的本地及网络备份还原功能支持USB移动硬盘备份设备，支持数据压结、克隆技术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 和交换机、防火墙同一品 牌</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服务器</w:t>
            </w:r>
          </w:p>
        </w:tc>
        <w:tc>
          <w:tcPr>
            <w:tcW w:w="7232" w:type="dxa"/>
            <w:shd w:val="clear" w:color="auto" w:fill="FFFFFF"/>
            <w:vAlign w:val="top"/>
          </w:tcPr>
          <w:p>
            <w:pPr>
              <w:pStyle w:val="4"/>
              <w:keepNext w:val="0"/>
              <w:keepLines w:val="0"/>
              <w:widowControl/>
              <w:suppressLineNumbers w:val="0"/>
              <w:spacing w:before="0" w:beforeAutospacing="0" w:after="150" w:afterAutospacing="0"/>
              <w:ind w:left="0" w:right="0"/>
              <w:textAlignment w:val="top"/>
              <w:rPr>
                <w:color w:val="auto"/>
              </w:rPr>
            </w:pPr>
            <w:r>
              <w:rPr>
                <w:rFonts w:hint="eastAsia" w:ascii="宋体" w:hAnsi="宋体" w:eastAsia="宋体" w:cs="宋体"/>
                <w:color w:val="auto"/>
                <w:sz w:val="24"/>
                <w:szCs w:val="24"/>
              </w:rPr>
              <w:t>(1)接口服务器规格：2U机架式，无线缆、免工具拆卸设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处理器：配置≥2个Intel Xeon E5-2609 V4 系列处理器（≥1.7GHZ主频，≥8核）。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内存：支持内存类型：ECC DDR4  RDIMM /LRDIMM内存插槽，配置≥2条16GB 2400MHz  DDR4 LV-DIMM。支持内存保护技术，支持内存镜像，支持双高内存。支持≥16个内存槽位，最大支持1.5TB内存。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硬盘：配置≥2块2.5寸300GB SAS 10K热拔插硬盘。本次配置8盘位，支持≥28个硬盘槽位。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RAID卡：配置磁盘阵列卡，支持RAID0,1,10,5,50,6,60，带1G Cache。</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网卡：配置1块2*GE以太电口卡，可灵活配置为2*10GE光口网卡。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I/O扩展：支持最多达9个PCIe扩展槽位，提供高可用的I/O扩展空间。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电源：配置≥2个460W热插拔冗余电源。并提供配套的电源连接线。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管理维护功能：可管理和维护性:1.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可实现与操作系统无关的远程对服务器的完全控制，包括远程的开机、关机、重启、虚拟软驱、虚拟光驱等操作。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要求提供为期三年原厂商硬件支持服务。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高扩展性：要求支持与服务器品 牌一致的PCI-E SSD高性能存储卡扩展，便于后期扩展。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运维：为了便于定位问题，要求主板支持黑匣子功能，支持KVM录像功能。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节能和易用性：便于客户易于运维管理，BIOS 菜单提供节能选项，要求支持BIOS中文界面。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为保证服务器运维安全性能，需要提供自研管理芯片。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自带系统备份还原软件，具有自主知识产权，实现WindOWS、Linux操作系统的本地及网络备份还原功能支持USB移动硬盘备份设备，支持数据压结、克隆技术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 和交换机、防火墙同一品 牌</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防火墙</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(1)安全网关：配置千兆电口≥8, 千兆光口≥4,内存≥4G；SSL VPN并发数≥100；交流电源；满配设备支持的虚拟防火墙授权数和IPSEC VPN隧道数；为保证兼容性与统一管理，要求本次招标的防火墙与核心交换机为同一品 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设备性能要求：吞吐量≥6Gbps，最大并发连接数≥400万，每秒新建连接数≥7万，投标产品必须满足性能要求，保留检测权利；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能够基于时间、用户/用户组、应用层协议、IP地址/地址段、端口、内容安全统一界面进行安全策略配置；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支持多种安全业务的虚拟化，包括防火墙、入侵防御、反病毒、VPN等。不同用户可在同一台物理设备上进行隔离的个性化管理；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支持发现冗余和失效的策略，支持分析设备的策略风险，提供安全策略优化建议，支持将基于端口的安全策略转换为基于应用的安全策略功能，提供功能截图证明；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支持静态路由、策略路由、RIP、OSPF、BGP、ISIS等路由协议，支持IPV6， 支持IPv6协议栈、IPV6穿越技术、IPV6路由协议；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支持基于应用层协议的攻击防范包括：HTTP、HTTPS、DNS、SIP 等Flood攻击；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支持流量自学习功能，可设置流量自学习时间，并自动生成DDOS攻击防范策略，提供功能截图证明；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▲可识别应用层协议数量≥6000种，可支持基于应用层协议设置流控策略，包括设置最大带宽、保证带宽、协议流量优先级等；提供官网截图证明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产品支持国密功能，并实际配置；</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WIFi覆盖系统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前端射频设备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(1)室外无线接入点：2.4G&amp;5.8G双频双流，802.11 a/b/g/n/ac wave2，最大速率1.2Gbps（2.4GHz2x2MIMO；5.8GHz2x2MIMO)；</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(2)AP发射功率≤27dBm (最大不超过500mw)，且功率可调节 (调节粒度为1dBm. 调节范围为1dBm-27dBm：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(3)AP满负荷工作功耗≤25W，支持PoE供电；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(4)IP防护等级≥67：最大接入用户数≥256；</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(5)支持基于SSID的接入用户敷限制；支持虚拟AP技术，SSID数≥32；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(6)支持SSID与1QVLAN -对一或一对多的映射；</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(7)支持中文SSID利SSID隐藏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(8)AP支持集中转发和本地转发两种数据转发模式，同一个AP上支持部分本地转发部分集中转发；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(9)支持胖瘦一体化，可通过软件开级的方式在瘦AP和胖AP互相转换，以适应部署需求；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(10)支持Portal、802. lx、CA证书认证、微信认证、短信认证、二维码认证、临时访客认证、免用户认证、预共享秘钥等多种认证方式：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(11)通过云平台即可实现微信认证、短信认证：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(12)支持时间公平算法，让不同协商速串的终端占用相等的无线信道时间，防止低速终端拉低网络整体速；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(13)支持防终端粘滞，AP感知连接到的STA,并智能引导STA接入最佳AP；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(14)支持禁止低速率、弱信号的终端接入：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(15)要求设备防雷击等级≥6KV：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(16)含天线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(17)支持AP零配置，支持二层广播、DHCP Option43、DNS域名等多种AC自动发现机制；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(18)支持双OS的备份机制，在主用OS启动失败时可以立即采用备份OS启动和运行，提高了设备在恶劣环境下长期运行的可靠性；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(19)AP可以满足-40°C～60°C的工作环境；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(20)支持非法AP探测和反制功能。</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全向天线丶定向天线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 4CHz (8dBi) 全向天线N型×1室外(材料费含在无线接入点内)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副</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全向天线丶定向天线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 8GHz (10dBi) 全向天线N型×1室外(材料费含在无线接入点内)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副</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馈线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(1)室外天馈线： ≥2米室外型防水WLAN射频线缆，线缆直径：≥7.5mm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(2)馈线调试</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条</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附属设备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(1)室外AP 专用大功率 PoE注入器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通讯网络控制设备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无线控制器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一、服务器规格：</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（1）CPU：≥英特尔E5 四核八线程；主频≥2.5GHz；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（2）内存：≥8GB内存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（3）硬盘：≥1TB SATA硬盘，支持RAID0/1，冗余电源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（4）Ubnntu Linux14.04 64位服务器版本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二、AC管理功能：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(1)支持不低于50000台AP同时在线，同时支持802.11a/b/g/n/ac AP的管理；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(2)支持开立子账户分级管理AP，子账户数量无上限，各子账户管理各自的AP，互相之前数据隔离；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(3)支持AC与Portal系统能单点登录；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(4)支持未上线AP预配置；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(5)支持基于百度地图来新建热点，每个热点绑定多个AP；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(6)支持通过查看百度地图来监控全网的AP，监控信息包括在线ap、离线ap、在线终端；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对在线、离线AP可以在地图上通过不同的颜色标识，按热点的离线AP数占总AP数量的比例，对热点的监控提供多个级别，离线AP比例在10%以上的热点显示红色，离线AP比例在0~10%之间的热点显示黄色，没有离线AP的热点显示绿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(8)支持Portal重定向，重定向参数可以自定义，自定义的信息包含：AC IP地址，AC名 称，Vlan ID，终端MAC，终端MAC的格式，终端IP，AP MAC，AP MAC格式，AP IP ，AP 名 称，终端位置，终端操作系统，终端类型，SSID，跳转页，AP的射频功率，AP的射频信道；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(9)AC和AP之间通过标准的CAPWAP协议进行通信，符合RFC标准要求，保留测试权利；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(10)支持基于SSID的VLAN划分，支持基于URL访问控制；支持定期关断射频或者SSID；支持基于时间控制的ACL；支持基于用户的黑白名单功能；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(11)配置管理方式：支持HTTP/HTTPS/CLI，支持中英文管理页面；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(12)AP在线升级：通过AC可以远程批量升级AP；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(13)可以实现短信认证、二维码认证、portal认证、支持微信连WiFi认证，APP认证等；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(14)定制开发能力：支持与第三方厂家特定开发功能，承诺提供不低于30天的原厂研发工程师项目现场驻点开发对接。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(15)要求支持提供产品MIB；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(16))AC支持基于JSON的开放式接口，可快速与第三方进行对接，保留测试权利。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三、Portal管理功能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(1)提供五种以上页面定制模板:用于自行更换广告画面、LOGO信息、版本信息等；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(2)支持终端自动适配：支持不同尺寸以及操作系统的终端大小适配；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(3)个性化Portal推送：支持根据IP段、VLAN、SSID区分用户、AP、区域，推送不同页面；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(4)支持非法重定向请求拦截：可以通过拦截手机APP等非法HTTP重定向请求，降低Portal服务器压力；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(5)提供基于时间间隔的认证频次设 计：可以配置弹出protal的失败次数时间间隔，用户认证失败多次后锁定ip，配置时长与失败次数，即认证频次；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(6)认证域：对不同用户域中的用户推送不同的Portal页面；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认证功能：支持多种认证方式，包括短信认证、观看广告自动认证、二维码认证、微信号认证，并支持无感知认证和二次免认证，并在认证后推送提示页面信息，可以提示登录时间、剩余时间、上传以及下载流量，也可以按照客户要求推送指 定页面。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(8)基于上网时长控制：基于时长的计费策略，可设定一次性时长限制、每天使用时长限制、每月使用时长限制；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(9)数据分析：可以通过统计分析图表的方式呈现用户增长趋势、用户登录成功数、某一时间点时登录数量、不同登录方式组成、用户上网时长、上下行流量等；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(10)基于区域的数据统计：支持按区域统计登录人数、登录成功人数等；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(11)支持与多家短信服务商对接：对于使用手机短信认证的用户提供查询和管理；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(12)并发用户数：不低于5000用户并发在线；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(13)外置认证计费服务器接口：支持通过与外置认证计费服务器对接实现二重认证和计费，外置认证计费服务器便可以灵活实现多种业务模式；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避雷器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(1)2.3-6CHz 天馈防雷器，室外AP专用天馈防雷器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避雷器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(1)1000M以太网网口防雷器室外AP专用网口防雷器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路由器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(1)路由器：支持多核CPU，采用无阻塞交换架构；</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固化4*GE+4GE光+2*GE Combo，支持24GE板卡，整机支持扩展千兆端口密度≥48；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转发性能≥20Mpps；带业务转发性能≥4.5Gbps；防火墙性能≥15Gbps；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支持扩展槽≥8、Mini-USB控制台端口≥1；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支持AC功能、支持AC发现 、AP接入、AP管理；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支持IPSec VPN，GRE VPN，DSVPN，SSL VPN，L2TP VPN, Smart VPN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支持3G功能、支持CDMA 2000 EV-DO Rev A制式，WCDMA制式，3G链路独立上行/作为备份链路；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支持组播功能，支持IGMP V1/V2/V3，PIM SM，PIM DM，MSDP；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支持路由策略，静态路由，RIP，OSPF，IS-IS，路由策略，静态路由，RIPng，OSPFv3，IS-ISv6；</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支持国密算法；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支持RTP，SIP，SIP AG，IP PBX、DM PBX，FXO、FXS，VoIP、电话会议，BEST, DISA，SBC, H.323网守；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支持FE、GE、155M POS/CPOS、622M POS、EPON/GPON、同异步串口、E1/CE1、3G/LTE等接口，提供官网截图证明；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支持URL过滤功能，可过滤指 定域名的网站提供佐证；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支持硬件H-QoS技术、SYSLOG、SNMP V1/V2/V3、RMON、WEB网管、CWMP；</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上网行为管理系统</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(1)上网行为管理系统：机架式独立硬件设备，系统硬件为全内置封闭式结构，稳定可靠，加电即可运行，启动过程无须人工干预</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支持10M/100M/1000M自适应电接口数量≥6；支持1TF卡扩展；接口无路由/交换/LAN/WAN等固化区分，均可作为二三层接口使用，支持多桥组部署，要求提供产品正面照片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支持路由模式、透明（网桥）模式、混合模式，支持镜像接口，部署模式切换无需重启设备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网络吞吐量≥5.9G，最大并发连接数≥180万；最大支持1T存储空间，三年升级特征库授权；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▲支持4G扩展网卡。支持在4G接口上运行IPSec VPN，提供web配置界面截图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实际配置支持基于用户、应用、时间对象的流量管控和策略设置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实际配置支持IPSec、支持手机、平板电脑等移动终端VPN接入，内置VPN硬件协处理器，实际配置支持DES、3DES、AES、SM3、SM4等加密算法，并提供截图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支持主流P2P、IM、在线视频、网络游戏、网络炒股等应用识别；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支持BYOD特征库，可识别ios版和安卓版移动互联网软件如微博、微信等特征；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支持股票应用的行情和交易特征，并可以将股票软件的行情和交易进行区分管控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通道化的QoS，支持基于源地址、用户、服务、应用、时间进行带宽控制，并支持配置保障带宽、限制带宽、带宽借用、每IP带宽、流量限额、带宽优先级等QoS动作，时间选择支持基于日计划、周计划、单次计划等。支持流量限额以日、月为单位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支持WEB Portal认证功能，支持本地认证、Radius认证、LDAP认证 和LDAP用户同步，支持对接SAM等常见AAA服务器，支持配置强制重新认证间隔，支持配置认证通过后重定向URL，要求本机自身支持短信认证功能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至少支持任子行、派博、爱思、虹旭、锐安、网博、华三、恒邦、兆物、云辰、宽广智通、携网等主流后端公安平台的直接对接（非额外部署日志服务器方式对接，需提供web截图证明）；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至少支持与城市热点、深澜、泰联、光华冠群、华三IMC、SAM、安美等认证服务器；支持标准的radius服务器；支持非标准的UDP 9999端口获取用户认证信息；至少支持与城市热点、深澜、泰联、光华冠群、华三IMC、SAM、安美等认证服务器；#支持烽火、普天、长虹、海信等胖AP的用户溯源审计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(15)支持主流网络应用识别≥3400，支持千万级URL地址库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(16)支持审计HTTPS加密邮箱，支持审计主题、内容、附件等，支持本地下载邮件原件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交换机</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(1)48口交换机：背板容量≥336Gbps，包转发率≥78Mpps； 支持交流供电；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千兆电口≥48个，千兆光口≥4个；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支持符合I 802.1Q标准的VLAN≥4K个，支持基于端口的VLAN；支持Access端口，支持Trunk端口，支持Hybrid端口，支持管理VLAN，支持Voice VLAN；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支持绝对优先级、WRR两种调度方式，支持每端口8个队列，支持根据802.1p/DSCP队列调度；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支持STP(I 802.1d)，RSTP(I 802.1w)，支持MSTP(I 802.1s)；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支持基于端口的MAC过滤、支持MAC认证、支持基于端口的802.1X认证、支持Portal认证、支持端口隔离、支持端口风暴抑制、支持DHCP Snooping；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支持IGMP Snooping（Internet Group Management Protocol Snooping），最多支持 1K个组播组；支持用户快速离开机制；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支持IPv4、IPv6静态路由；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支持汇聚组≥64组，每组最多8个端口；支持静态LACP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支持基于端口的双向流量镜像；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支持对出入端口的报文流量进行限速，粒度最小≤64Kbps；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基于端口速率的风暴抑制端口流量达到风暴抑制门限时发送告警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支持WEB网管，支持DHCP-client，支持远程配置，支持智能堆叠 iStack功能；支持一键还原；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支持Syslog（系统日志）；支持Ping检测；支持VCT(Virtual Cable Test)；支持链路层发现协议LLDP（Link Layer Discovery Protocol）；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支持能效以太网，整机可达到节能≥30%；</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交换机</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(1)24口交换机：交换容量≥3.36Tbps，包转发率≥126Mpps；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千兆电口≥24个，千兆光口≥4个；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支持MAC地址≥16K；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支持ARP表项≥2K；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支持4K个VLAN，支持Voice VLAN，基于端口的VLAN，基于MAC的VLAN，基于协议的VLAN；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支持VLAN内端口隔离；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支持静态路由、RIP、OSPF、RIPng、OSPF V3；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支持Ipv4 FIB表项≥4K；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支持防止DOS、ARP攻击功能、ICMP防攻击，支持端口隔离、端口安全、Sticky MAC；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支持DHCP Relay、DHCP Server、DHCP Snooping支持AAA认证，支持Radius、HWTACACS、NAC等多种方式；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支持CPU保护功能，支持CPU攻击防范：支持CPCAR，支持CPU队列限速；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业务端口防雷能力≥10kW；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支持基于第二层、第三层和第四层的ACL；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支持G.8032开放环网协议；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支持智能堆叠，堆叠后逻辑上虚拟为一台设备，具有统一的表项和管理，堆叠系统通过多台成员设备之间冗余备份；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 支持纵向虚拟化，作为纵向子节点零配置即插即用；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 支持能效以太网，节能环保；</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 采用静音无风扇设 计，环保无噪声。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收发器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(1)光模块： SFP接口(单模10km/1310nm，LC接口)</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防火墙</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(1)防火墙：配置千兆电口≥8, 千兆光口≥4,内存≥4G；SSL VPN并发数≥100；交流电源；满配设备支持的虚拟防火墙授权数和IPSEC VPN隧道数；为保证兼容性与统一管理，要求本次招标的防火墙与核心交换机为同一品 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设备性能要求：吞吐量≥6Gbps，最大并发连接数≥400万，每秒新建连接数≥7万，投标产品必须满足性能要求，保留检测权利；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能够基于时间、用户/用户组、应用层协议、IP地址/地址段、端口、内容安全统一界面进行安全策略配置；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支持多种安全业务的虚拟化，包括防火墙、入侵防御、反病毒、VPN等。不同用户可在同一台物理设备上进行隔离的个性化管理；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▲支持发现冗余和失效的策略，支持分析设备的策略风险，提供安全策略优化建议，支持将基于端口的安全策略转换为基于应用的安全策略功能，提供功能截图证明；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支持静态路由、策略路由、RIP、OSPF、BGP、ISIS等路由协议，支持IPV6， 支持IPv6协议栈、IPV6穿越技术、IPV6路由协议；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支持基于应用层协议的攻击防范包括：HTTP、HTTPS、DNS、SIP 等Flood攻击；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支持流量自学习功能，可设置流量自学习时间，并自动生成DDOS攻击防范策略，提供功能截图证明；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可识别应用层协议数量≥6000种，可支持基于应用层协议设置流控策略，包括设置最大带宽、保证带宽、协议流量优先级等；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防火墙产品具有ICSA证书；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产品支持国密功能，并实际配置；</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上网行为管理主机</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(1)上网行为管理主机：机架式独立硬件设备，系统硬件为全内置封闭式结构，稳定可靠，加电即可运行，启动过程无须人工干预；</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支持10M/100M/1000M自适应电接口数量≥6；支持1TF卡扩展；接口无路由/交换/LAN/WAN等固化区分，均可作为二三层接口使用，支持多桥组部署；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支持路由模式、透明（网桥）模式、混合模式，支持镜像接口，部署模式切换无需重启设备；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网络吞吐量≥5.9G，最大并发连接数≥180万；最大支持1T存储空间，三年升级特征库授权；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支持4G扩展网卡。支持在4G接口上运行IPSec VPN；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实际配置支持基于用户、应用、时间对象的流量管控和策略设置；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实际配置支持IPSec、支持手机、平板电脑等移动终端VPN接入，内置VPN硬件协处理器，实际配置支持DES、3DES、AES、SM3、SM4等加密算法；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支持主流P2P、IM、在线视频、网络游戏、网络炒股等应用识别；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支持BYOD特征库，可识别ios版和安卓版移动互联网软件如微博、微信等特征；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支持股票应用的行情和交易特征，并可以将股票软件的行情和交易进行区分管控；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通道化的QoS，支持基于源地址、用户、服务、应用、时间进行带宽控制，并支持配置保障带宽、限制带宽、带宽借用、每IP带宽、流量限额、带宽优先级等QoS动作，时间选择支持基于日计划、周计划、单次计划等。支持流量限额以日、月为单位配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支持WEB Portal认证功能，支持本地认证、Radius认证、LDAP认证 和LDAP用户同步，支持对接SAM等常见AAA服务器，支持配置强制重新认证间隔，支持配置认证通过后重定向URL，要求本机自身支持短信认证功能；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至少支持任子行、派博、爱思、虹旭、锐安、网博、华三、恒邦、兆物、云辰、宽广智通、携网等主流后端公安平台的直接对接；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至少支持与城市热点、深澜、泰联、光华冠群、华三IMC、SAM、安美等认证服务器；支持标准的radius服务器；支持非标准的UDP 9999端口获取用户认证信息；至少支持与城市热点、深澜、泰联、光华冠群、华三IMC、SAM、安美等认证服务器；#支持烽火、普天、长虹、海信等胖AP的用户溯源审计；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(15)支持主流网络应用识别≥3400，支持千万级URL地址库；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(16)支持审计HTTPS加密邮箱，支持审计主题、内容、附件等，支持本地下载邮件原件；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跳线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(1)光纤跳线1米：符合ANSI/TIA/EIA 568-C.3以及ISO/IEC11801标准；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(2)护套防火等级； LSZH, PC打磨方式，套圈材料：陶瓷；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(3)最大损耗：≤0.2dB\Km；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(4)3D干涉测试：通过顶点偏移(Apex Offset)、 曲率半径(ROC).光纤高度(Fiber Height)测试。</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条</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跳线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(1)光纤跳线3米，符合ANST/条TIAEIA 508-0. 3以仅IS0/IEC11801标准；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(2)护套防火等级，LSZH PC打磨方式；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(3)套网材料：陶瓷；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(4)最大损耗： ≤0. 2dB\Km；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3D干涉测试；通过顶点偏移(Apex Offset)、 曲率半径(ROC)、光纤高度(Fiber Height)测试。</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条</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光纤盒</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(1)光纤熔接盘≥6芯光纤熔接含耦合器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(1)机架式光纤收发器机框≥16槽位</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架</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(1)光电转换器板卡式，≥4个电口</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(1)光电转换器独立式，≥4个电口</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机柜丶机架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(1)网络机柜(42U) ：符合ANS1/EIA RS-310-D, IEC297-2、DIN41491； PART1、 DIM41494； PART7、 GB/T3047, 2- 92标准；兼容ETSI标准：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(2)全部选用SPCC优质冷轧钢板制，厚度；方孔条2.Omm,脚轮托盘2. Omm,骨架和安装梁1.5mm,其他1.2mm；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(3)柜体底部安装的万向脚轮、调节脚；机柜项部装有高速放热风扇，保证柜内有个良好的通风散热性；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(4)最大静载1000KG，移动承载≥800KG。</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抗震底座</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(1)机柜角钢底座</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(1)24芯机架式光纤配线架；光纤配线箱与光纤耦合器面板兼容。每个配线箱端口都是独立的，可以从前端取下。配线箱盖板可以从后端拆下；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(2)通过固定支架实现齐平安装或者嵌入安装：带有2个线缆紧固螺栓(PG9) ，用来固定线缆；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(3)可同时支持耦合器面板和MPO盒；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(4)适用于SC/ST/LC/FC等耦合器的端接 符合RoHS；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(5)配线架含24个光纤适配器，24条单模尾纤。</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架</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双绞线缆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(1)网络线（超五类）；要求符合ANSI/TIA/-568-C2 and ISO/IEC 11801；2002 2nd Edition IEC 61156-5标准；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(2)导线；实心裸铜线，24AWG，外径：6.3±0.5mm，绝缘层≥0.2mm,HDPE(高密度聚乙烯）材料；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(3)要求PVC外皮材料，外皮：≥0.5mm； 要求带宽大于等于250MHz直流电阻小于等于95Ω/KM；最大电容：100Ω+6； 具有撕裂绳：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(4)安装温度：一30至50℃。工作湿度： 0~至50°C，符合RoHS.</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米</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70.950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杆上配电箱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(1)挂杆安防箱≥400mm×500m×200mm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监控摄像设备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(1)室外高速球：摄像机靶面尺寸≥1/1.8英寸；支持30倍光学变焦；水平旋转范围为360°连续旋转，垂直旋转范围为-20°~90°；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(2)视频输出支持2560×1440@25fps，分辨力≥1400TVL，红外距离可达300米；支持最低照度可达彩色≤0.0002Lux，≤黑白0.0001Lux；焦距：5.9-177mm；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(3)支持水平手控速度≥550°/S，垂直速度≥120°/S，云台定位精度为±0.1°；具备较好的电源适应性，电压在AC24V±30%或DC24V±30%范围内变化时，设备可正常工作；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(4)支持≥300个预置位，支持≥18条巡航路径，支持≥7条模式路径设置，支持预置位视频冻结功能；可实现RS485接口优先或RJ45网络接口优先控制功能；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(5)样机可对设定区域内的运动目标在设定时间内持续跟踪，使该目标处于主视频图像中，样机可自动调节变倍，可对该目标抓拍图片并可手动切换跟踪目标；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(6)信噪比≥63dB，网络延时≤100ms；动态范围≥106dB，照度适应范围≥138dB，宽动态能力综合得分≥135；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(7)在传输距离为1500m，采用五类非屏蔽网线连接，网络传输能力满足发送1500个数据包，重复测试3次，每次丢包数≤1个；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(8)具备较强的网络自适应能力，在丢包率为20%的网络环境下，仍可正常显示监视画面；支持智能红外、透雾、强光抑制、电子防抖、数字降噪、防红外过曝功能；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(9)支持区域遮盖功能，支持设置≥24个不规则四边形区域，可设置不同颜色；支持3D定位、断电记忆功能；支持IP地址访问控制功能，支持定时抓图或报警联动抓图上传ftp功能；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(10)球机应具备本机存储功能，支持SD卡热插拔，支持≥512GB；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(11)支持采用H.265、H.264视频编码标准，H.264编码支持Baseline/Main/High Profile，音频编码支持G.711ulaw/G.711alaw/G.726/G.722.1/AAC；支持三码流同时输出，主码流、第三码流同时支持2560×1440@30fps，2048×1536@30fps；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GB28181协议，支持标准Onvif协议；支持区域入侵、越界入侵、徘徊、物品移除、物品遗留、人员聚集、停车，并联动报警；具备较好的防护性能环境适应性，支持IP67，8kV防浪涌，工作温度范围可达-45℃-70℃。</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监控摄像设备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(1)红外枪型网络摄像机：具有400万像素1/2.7”CMOS传感器，镜头 4mm,水平视场角82.5°；[6mm (51°),8mm (39°),12mm (24.5°)可选]；最大分辨率2560x1440；需具有20路取流路数能力，以满足更多用户同时在线访问摄像机视频；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(2)最低照度彩色≤0.001lx，≤黑白:0.0001lx，灰度等级≥11级；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(3)红外补光距离≥80米；需支持三码流技术，可同时输出三路码流，主码流最高2560x1440@30fps，第三码流最大2560x1440@30fps，子码流704x576@30fps；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(4)在2560x1440@25fps下，清晰度≥1400TVL；支持H.264、H.265、MJPEG视频编码格式，且具有HighProfile编码能力；信噪比≥58dB；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(5)需支持宽动态功能，宽动态范围:120dB；；需支持≥10行字符显示，字体颜色可设置，需具有图片叠加到视频画面功能；支持区域遮盖功能，并能支持≥8块区域；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(6)需具有黑白名单功能，其中白名单可添加≥10个IP地址；需支持智能后检索功能；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(7)需具备人脸检测、区域入侵检测、越界检测、虚焦检测、进入区域、离开区域、徘徊、人员聚集、逆行、音频异常、场景变更等功能；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(8)需具有电子防抖、ROI感兴趣区域、SVC可伸缩编码、自动增益、背光补偿、数字降噪、强光抑制、防红外过曝、走廊模式、视频水印等功能；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(9)摄像机能够在-30~60摄氏度，湿度≤93%环境下稳定工作；≥IP67防尘防水等级；需具有≥1个RJ-4510M/100M自适应网络接口；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(10)需具有通讯接口≥1个RJ45 10M / 100M 自适应以太网口，≥2路报警输入、≥2路报警输出、≥1个音频输入、≥1个音频输出接口，需支持MP2L2、AAC和PCM音频编码；通过网线传输检验；在传输距离为100米时，在客户端连续向设备发送1000个数据包重复测试3次，每次数据包丢失数不大于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(11)需支持DC12V供电，且在≥DC12V±30%范围内变化时可以正常工作；设备工作状态时，支持空气放电8kV，接触放电6kV，通讯端口支持6kV峰值电压；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(12)需支持本地SD卡存储，支持≥128G，并支持存储卡可使用时长显示；支持≥1个BNC模拟视频接口；需具有≥20路取流路数能力，以满足更多用户同时在线访问摄像机视频；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(13)静止场景相同图像质量下开启智能编码方式后，相比不开启此功能，码率可节约≥1/3；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(14)同一静止场景相同图像质量下，设备在H.265编码方式时，开启智能编码功能和不开启智能编码相比，码率节约≥1/2。</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电杆组立</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(1)立杆、横杆皆为圆杆,H=3.5米含地笼含基础；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(2)所有钢件皆热镀锌防腐处理后，表面聚脂粉体涂装；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(3)所用材质不低于Q235；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(4)所有漏锌孔在镀锌以后必须密封(表面光滑)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(5)安装后横臂垂直于车辆行驶方向，地脚螺栓2个安装孔平行于车辆行驶方向；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(6)立杆封盖采用活式，横臂封盖焊封。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(7)杆件基础：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(8)水泥标号不小于C325号硅酸盐水泥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(9)砂：中、粗砂，含泥量不大于5%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(10)石子：卵石或碎石，粒径0.5-3.2cm， 含泥量不大于2%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(11)水，应用自来水或不含有害物质的洁净水。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(12)外加剂，掺合科：其品种及掺量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(13)应根据需要，通过试验确定。</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根/基</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电杆组立</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(1)立杆、横杆皆为四杆,H=6 米含地笼含基础：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(2)所有钢件皆热镀锌防腐处理后，表面聚脂粉体涂装：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(3)所用材质不低于Q235；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(4)所有漏锌孔在镀锌以后必须密封(表面光滑)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(5)安装后横臂垂直于车辆行驶方向，地脚螺栓2个安装孔平行于车辆行驶方内：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(6)立杆封盖采用活式，横臂封盖焊封；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(7)杆件基础；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(8)水泥标号不小于C325号硅酸盐水泥；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(9)砂，中、粗砂，含泥量不大于5%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(10)石子： 卵石或碎石，粒径0.5--3.2cm， 含泥量不大丁2％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(11)水：应用自来水或不含有害物质的洁净水。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(12)外加剂、掺合料：其品种及掺量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(13)应根据需要，通过试验确定。</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根/基</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(1)市电配电箱落地式≥500mm×400mm×200mm，含空开及防雷器。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杆上配电箱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(1)挂杆安防箱≥400mm×300mm×200mm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电子设备防雷接地装置</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(1)摄像机二合一防雷器（电源防雷+网络防雷）</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录像设备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(1)存储NVR：▲支持周界报警过滤功能，对IPC上报的越界侦测报警和区域入侵报警进行去误报，可去除由树叶、灯光、车辆、阴影以及小动物引起的误报，支持≥8路; 支持接入人体抓拍机，当抓拍机侦测到人体并触发报警时，NVR可联动录像、保存人体图片、弹出报警画面、声音警告、上传中心、发送邮件、触发报警输出，可按通道、时间检索图片;支持对人体抓拍机上报的报警图片进行二次识别，去除非人体报警;支持对人体图片进行结构化识别，可提取出人体属性（性别、年龄段、衣服颜色、戴眼镜、背包、骑车），并支持按属性进行检索人体图片；可对图片进行建模，并支持人体以图搜图（需提供第三方机构在本招标公告发布前出具的有效检测报告复印件作为考评依据，原件备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(2)可对视频画面叠加≥10行字符，每行可输入≥22个汉字;可接入双目摄像机进行预览和回放; （提供第三方机构在本招标公告发布前出具的有效检测报告复印件作为考评依据，原件备查）；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报警输入触发一键撤防功能，撤防的报警类型可选（弹出报警画面、声音警告、上传中心、发送邮件、触发报警输出）;支持设置图案密码，用户通过绘制图案来解锁并登录;支持视频摘要回放功能：将不同时间段的多个目标叠加在一个背景上同时回放；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(4)支持POS功能，可接入POS机，叠加POS信息到录像中，可按关键字搜索录像，可修改POS信息的字体大小和颜色;支持接入ONVIF协议、RTSP协议、GB/T28181协议的设备，可一键激活并添加局域网内IPC;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(5)支持多屏输出，可设置2组4屏显示输出，每组包含HDMI和VGA接口各一个，同一组内为同源输出，两组之间可以异源输出视频图像;持36/32/25/16/9/8/6/4/1分屏预览；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(6)支持1/8、1/4、1/2、1、2、4、8、16、32、64、128、256等倍速回放录像，支持录像文件剪辑和回放截图功能;支持同时输出3路H.264编码、20fps、4000×3000格式的视频图像；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(7)支持对鱼眼IPC进行矫正，可设置180度全景、360度全景、PTZ三种模式;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(8)可支持最大接入总带宽512Mbps的32路视频图像;可接入H.265、H.264、MPEG4、SVAC视频编码格式的IPC;支持对重要的数据能够进行备份，备份格式MP4和AVI可选;支持录像打包时间1-300分钟可设置;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(9)支持双码流同时录像;支持即时存储和回放功能，可存储和回放设备断电、断网前一秒的录像;支持对任一录像文件加锁、解锁，只有解锁后才可被覆盖; 支持RAID0、RAID1、RAID5、RAID6、RAID10、RAID50、RAID60和JBOD模式，可指 定某一块硬盘为热备盘；可设置未进行读写操作的硬盘、Raid组自动处于休眠状态;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(10)支持智能检索回放功能：进行智能检索回放时，通过设置线、四边形、矩形、全屏4种规则，可自动跳过未触发设定规则的录像，只播放触发规则的录像，并且播放速度可设置;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(11)支持带有越界、区域入侵、进入/离开区域、人员聚集、快速移动、物品遗留/拿取、停车、徘徊、场景变更、虚焦、音频异常报警、PIR报警功能的网络摄像机接入与相关报警联动功能;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(12)支持浓缩播放功能，录像回放中，有移动侦测、外部输入报警、智能侦测等事件发生时，视频按正常速度播放，其他视频自动按高倍速播放，且播放倍速可配置（前端IPC需支持智能侦测功能）;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(13)支持将选中通道24小时内的录像文件按时间平均分配至多个窗口进行分时回放，窗口数量可配置，最大16分屏；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(14)支持对画面顺时针旋转270度，对画面进行“左右”、“上下”、“中心”镜像翻转;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图片直存功能：接入卡口摄像机，卡口摄像机识别到车牌后可将图片直接存入NVR，NVR可联动录像、抓拍并保存图片、弹出报警画面、声音警告、上传中心、发送邮件、触发报警输出，可按通道、时间、车牌号码检索图片；≥8盘位，可满配6TB硬盘；支持≥8个SATA接口，≥1个eSATA接口，≥2个USB2.0，≥1个USB3.0接口；支持≥16路报警输入，≥8路报警输出接口。</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录像设备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(1)≥4T企业级硬盘</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（2）1080P高清视频图像存储≥30天</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视频控制设备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(1)中心管理平台：2U机架式机箱设 计，全模块化设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(2)配置≥1颗Intel Xeon E5-2620 V4,主频≥2.1GHz,八核心；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(3)配置≥16GB DDR4 ECC内存，支持≥4根内存插槽；支持DDR42133/1866 ECC内存，最大可扩展至512GB内存；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(4)平台基于SOA架构设 计，并通过Web Service提供基础服务，可与第三方业务系统相互集成；平台采用基于J2EE的企业业务中间件技术，可对接第三方厂商的设备；支持C/S客户端、B/S客户端、大屏客户端、手机客户端以及iPad客户端；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(5)WEB端登录支持密码强度提醒，平台用户密码强度设备；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(6)支持平台级联实现上、中、下级资源的推送，上级可以预览、回放、云台控制下级级联上来的监控点；支持多层级组织管理；支持平台用户管理、权限管理、资源分配；支持平台日志的记录、查询、导出功能；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(7)支持实时视音频监控功能，支持视频在线预览，支持1/4/6/8/9/13/16/20/25/36等画面平均分割和主/子画面分割布局；能按照指 定通道进行单路视音频、分组视音频的实时调阅，自动或手动轮巡切换显示；支持至少一种音频编码设备的实时视音频在线游览和监听、对讲；支持对前端云台、镜头、护罩的远程控制；支持对监控视频图像的手动抓拍与缩放；支持视频监控码流选择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(8)支持全景摄像机，实现180度全景监控，可对全景区域内的多个目标进行穿越警戒面、区域入侵、进入区域、离开区域行为的检测；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视音频记录和回放功能，支持按照监控点、日期和时间、报警信息等检索条件对所有录像、录音资料的在线查询和结果显示；支持对所有录像、录音资料的远程和本地回放；支持多个视音频记录的同步回放；支持对录像回放进度的控制；支持即时录像录音功能；支持录像、录音资料的在线下载，支持下载断电续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大屏拼接解码上墙功能，实现窗口缩放、窗口切换、拼接、开窗、分割、漫游、电视墙预案、报警联动上墙、本地电脑桌面上墙、键盘控制监控点上墙和控制云台等功能；支持iPad大屏控制；支持接入周界防范智能相机和行为分析服务器，实现智能视频分析；支持接入智能人脸比对服务器，实现人脸比对；支持客流统计和热度图分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智能视频分析功能，支持对视频智能分析系统的分析结果和告警信息的接收和显示，包括越界、突然出现、物品盗移、超时滞留等；支持对视频智能分析系统中移动目标轨迹在监控画面上的显示；支持对人头技术系统中的技术人数在监控画面上叠加显示并实时动态刷新；支持对视频智能分析告警的手动布撤防和按时自动布撤防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电子地图功能，支持电子地图界面显示和操作功能，并能在电子地图上显示视频监控点图标，通过点击图标能游览实时视频；支持在电子地图上以声光方式显示报警点和报警信息；支持事件中心配置、分发、上报、联动等功能，并支持批量事件规则与联动；支持网络管理，支持对视频设备、服务、视频诊断等状态巡检，采集状态信息，并对采集的结果进行统计分析、生成状态异常告警、报表和日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支持报警管理功能，设有专门的报警接收和显示窗口，报警事件以队列方式在报警窗口中显示，以声光电形式输出报警提示信息；支持入侵报警、视频移动侦测报警、视频丢失、镜头遮挡等告警信息的实时接收和显示，并自动生成报警记录；支持对报警防区的手动远程布/撤防操作，并具有批量布撤防功能；支持对报警信息的在线处理功能和处理界面，并能生成处警记录；支持报警和事件记录的条件组合在线查询、统计；支持用不同声音表示不同级别和类别的告警信息；能同时接收和处理多路报警信息，同时接收多路前端联动上传的报警图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(14)支持门禁出入口控制管理，支持出入口控制刷卡信息的实时接收显示，并能显示姓名、卡号、刷卡时间、门禁点名 称等信息，并自动生成门禁刷卡记录；支持黑名单卡刷卡信息的实时接收和告警，并自动生成告警记录，支持对出入口刷卡、开/关门记录的查询很统计功能；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停车场管理系统，支持IC卡、射频卡、车牌识别等多种配置的出入口控制，支持车辆管理、收费管理、寻车诱导、商户管理、信息查询等功能，支持过车监控和车牌查询，支持支付宝和微信缴纳停车费，支持停车场地图和二维码反向寻车，支持手机WEB和手机APP付费、预约车位、寻车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支持可视对讲功能，提供了服务器管理、设备管理、权限分配、信息发送以及日志查看等功能，支持访视频通话、对讲监控、点对点对讲通信、远程配置门禁卡片权限、实时门口机视频、远程发送信息等功能，支持多种事件报警联动开门、联动短信、邮件、云台、电视墙、录像抓图、IO输出等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支持巡查管理系统，支持巡查点视频关联，报警联动，电子地图，报表等功能；支持准时、早巡、晚巡、漏巡及不漏巡五种巡查事件类型；支持排班信息和路线信息查询；支持巡查单兵APP；支持考勤管理系统，支持时段与班次定义、人员排班，考勤规则、考勤调整及节假日定义，支持刷卡记录及考勤结果分析和查询，支持考考勤打卡分析表、考勤结果统计报表、出勤率统计表等多种报表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支持消费设备管理功能，支持多种权限模型，补贴模型、账户模型、多维护管理消费模式及统计报表；支持手机客户端控制，支持iOS、Android两个平台，提供的功能主要包括视频功能、门禁功能、访客功能、消息中心；支持动环监测管理功能，支持动环主机设备管理、环境量配置、动环数据监测、数据记录查询、数据导出等功能，实现通过动环主机对温度、湿度、噪音、粉尘的监测和收集、报警联动等功能。</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交换机</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(1)监控24口交换机：背板容量≥68Gbps，包转发率≥42Mpps;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千兆电口≥24个，千兆光口≥4个；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支持符合I 802.1Q标准的VLAN≥4K个，支持基于端口的VLAN；支持Access端口，支持Trunk端口，支持Hybrid端口，支持管理VLAN，支持Voice VLAN；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支持绝对优先级、WRR两种调度方式，支持每端口8个队列，支持根据802.1p/DSCP队列调度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支持STP(I 802.1d)，RSTP(I 802.1w)，支持MSTP(I 802.1s)；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支持基于端口的MAC过滤、支持MAC认证、支持基于端口的802.1X认证、支持Portal认证、支持端口隔离、支持端口风暴抑制、支持DHCP Snooping；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支持IGMP Snooping，最多支持 1K个组播组；支持用户快速离开机制；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支持IPv4、IPv6静态路由；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支持汇聚组≥64组，每组最多8个端口；支持静态LACP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支持基于端口的双向流量镜像；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支持对出入端口的报文流量进行限速，粒度最小≤64Kbps；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基于端口速率的风暴抑制，端口流量达到风暴抑制门限时发送告警；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支持无风扇设 计，无噪音；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支持WEB网管，支持DHCP-client，支持远程配置，支持智能堆叠 iStack功能；支持一键还原；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支持系统日志；支持Ping检测；支持VCT；支持链路层发现协议LLDP；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 支持能效以太网，整机可达到节能≥30%。</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交换机</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(1)监控48口交换机：背板容量≥336Gbps，包转发率≥78Mpps； 支持交流供电；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千兆电口≥48个，千兆光口≥4个；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支持符合I 802.1Q标准的VLAN≥4K个，支持基于端口的VLAN；支持Access端口，支持Trunk端口，支持Hybrid端口，支持管理VLAN，支持Voice VLAN；</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支持绝对优先级、WRR两种调度方式，支持每端口8个队列，支持根据802.1p/DSCP队列调度；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支持STP(I 802.1d)，RSTP(I 802.1w)，支持MSTP(I 802.1s)；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支持基于端口的MAC过滤、支持MAC认证、支持基于端口的802.1X认证、支持Portal认证、支持端口隔离、支持端口风暴抑制、支持DHCP Snooping；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支持IGMP Snooping（Internet Group Management Protocol Snooping），最多支持 1K个组播组；支持用户快速离开机制；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 支持IPv4、IPv6静态路由；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支持汇聚组≥64组，每组最多8个端口；支持静态LACP；</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 支持基于端口的双向流量镜像；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 支持对出入端口的报文流量进行限速，粒度最小≤64Kbps；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 基于端口速率的风暴抑制端口流量达到风暴抑制门限时发送告警；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 支持WEB网管，支持DHCP-client，支持远程配置，支持智能堆叠 iStack功能；支持一键还原；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 支持Syslog（系统日志）；支持Ping检测；支持VCT(Virtual Cable Test)；支持链路层发现协议LLDP（Link Layer Discovery Protocol）；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 支持能效以太网，整机可达到节能≥30%</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(1)机架式光纤收发器机框≥16槽位</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架</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(1)光电转换器板卡式，≥4个电口</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(1)光电转换器独立式，≥4个电口</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监控设备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(1)监控电脑，≥CPU i5；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(2)内存： ≥4G (DDR4，1600MHz)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(3)显卡：≥独立1G显卡；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(4)硬盘：≥ 500G(SATA/7200转)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(5)千兆网口：≥1个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(6)光驱：  DVD；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(7)显示器： ≥19寸：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(8)USB键盘鼠标套件。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套/部</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控制台</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(1)控制台和监视器柜架四联每联≥600mm × 800mm × 750mm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机柜，机架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(1)网络机柜落地式42U</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显示设备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360" w:right="0"/>
              <w:textAlignment w:val="center"/>
              <w:rPr>
                <w:color w:val="auto"/>
              </w:rPr>
            </w:pPr>
            <w:r>
              <w:rPr>
                <w:rFonts w:hint="eastAsia" w:ascii="宋体" w:hAnsi="宋体" w:eastAsia="宋体" w:cs="宋体"/>
                <w:color w:val="auto"/>
                <w:sz w:val="24"/>
                <w:szCs w:val="24"/>
              </w:rPr>
              <w:t>(1) 液晶拼接显示单元：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LCD显示单元为：≥46寸超窄边液晶屏；物理分辨率达到1920×1080，物理拼缝≤3.5mm，响应时间≤8ms。输入接口：≥VGA×1，≥DVI×1，≥BNC×1，≥YPbPr×1，≥HDMI×1，≥USB×1；LCD显示单元亮度≥600cd/㎡，对比度≥5000:1，图像显示清晰度≥950TVL，亮度鉴别等级≥11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(2)LCD显示单元采用超宽视角液晶屏，视角可达178°，画面的输出精确和稳定，色彩饱和靓丽，屏幕更加明亮；屏幕漏光度≤0.01cd/㎡，可抵抗太阳光等强光干扰,照度在95KLux能正常工作；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(3)液晶拼接屏必须采用整机设 计，严禁使用飞线屏（供货时如果发现飞线屏，业主有权取消中标资格），显示屏具备完整后壳，不得以支架或挡板替代，无任何裸露在外的电路线，整体美观大方，而且产品符合检测规范；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(4)LCD显示单元具备智能光感护眼功能,液晶单元可自动识别环境光强弱,根据环境光变化调节屏幕亮度；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LCD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(7)LCD显单元支持HDTVI同轴高清视频信号，带一入一出环通接口。支持分辨率：720P@50Hz/60Hz、720P@25Hz/30Hz、1080P@25Hz/30Hz；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LCD显示单元支持全接口环通，支持BNC、VGA、DVI、SDI、DP(4K)、S-video等接口的环通，BNC、DVI、VGA、HDMI、SDI、DP(4K)、S-video等信号的环通显示，及RJ45接口环通输出；内置拼接处理引擎，配合环通接口，无需外设拼接控制器可实现自拼接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(9)LCD显示单元内置黑白精显模式，可将彩色信号转换成黑白灰度模式并提高图像细节辨认能力；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提供封面首页具有CNAS标识的第三方检测报告复印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LCD显示单元内置wifi模块，支持无线管理，支持手机短信及网络邮件报警功能，显示屏出现异常时可通过互联网进行邮件和短信报警；LCD显示单元支持边缘屏蔽功能，智能去除黑边功能，可消除显示终端上存在的黑边，及因拼缝带来的图像变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(12)用户可以选择显示默认开机LOGO、定制开机LOGO、不显示LOGO。用户可以任意定制LOGO而无需升级软件,而且具有LOGO拼接技术，具有自然拼接模式；能实现开机LOGO拼接及开机高清底图拼接；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(13)LCD采用双CPU+多个协处理器核的构架；双CPU负责通讯、色彩调整及模块控制等控制功能；3个DSP核+1个FPGA核负责图像数据的处理，分工明确保证系统稳 定 性和实时性，使图像处理更加游刃有余；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(14)LCD显示单元通过调整γ曲线，使得实际γ曲线更为平滑且更为准确，从而提升显示设备的显示效果；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(15)LCD显示单元支持自动镜像功能，可以实现显示内容（视频、文本等）镜像、OSD菜单的自定义0-360°旋转。</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辅助设备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(1)液晶拼接单元底座：采用不锈钢材料定制，外层涂有绝缘喷塑材料，涂层表面平滑、喷涂均匀、色调一致，颜色为黑色；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(2)积木式底座可以承受至少6层拼接单元承重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(3)积木式箱体单元间有紧固连接装置，确保显示单元箱体、底座连接牢固；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(4)底座和箱体单元均可水平及垂直方向调节，屏幕也可进出调节，显示单元安装操作简单，可准确定位；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(5)积木式箱体单元每个单元及底座均设有布线暗槽，整个系统布线整齐，有明确标示，无外露线缆。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盘/部</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辅助设备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(1)液晶拼接单元支架：采用不锈钢材料定制，外层涂有绝缘喷塑材料，涂层表面平滑、喷涂均匀、色调一致，颜色为黑色；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(2)采用标准化、模块化积木式安装机架，可采用横向和纵向安装方式，进行灵活拼接及扩展，可支持孤形拼接。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(3)含底座、包边</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盘/部</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专用线缆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(1)拼接专用电缆 定制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根</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视频控制设备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图像处理系统：采用嵌入式架构，专用Linux系统，使用DSP解码；为了设备稳定可靠运行，不得采用工控机或者PC机的X86架构；可对以下分辨率及编码格式的视频图像进行解码后输出：≥32路分辨率为1920×1080（30fps）的MJPEG视频图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要求设备具备，≥20个RJ45网络接口，≥1路语音输入，≥1路语音输出，≥1个RS232接口，≥1个RS485接口，≥8路报警输入，≥8路报警输出，≥1个VGA视频输入接口，≥1个DVI-I输入接口。输出口支持≥16个HDMI接口，支持≥16路模拟音频输出，支持≥8路模拟视频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(3)具有≥1个电源指示灯，≥2个硬盘指示灯；可对客户端电脑桌面解码输出显示；可通过客户端软件导入和导出设备配置参数；可将视频图像进行轮巡输出显示，并可在客户端软件设置轮巡计划；</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(4)可通过客户端软件设置HDMI接口输出分辨率为1024×768（60Hz）、1280×1024（60Hz）、1280×720（60Hz）、1280×720（50Hz）、1920×1080（50Hz）、1920×1080（60Hz）、1600×1200（60Hz）、1680×1050（60Hz）、3840x2160（30Hz）。；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(5)可通过客户端软件将显示窗口在多个显示屏间进行拖动或跨屏显示，并可调节显示窗口大小；可分别通过IE浏览器及客户端软件两种方式访问设备；支持1、2、4、6、8、9、10、12、16、25、36画面分割显示；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可通过客户端软件将1路输入视频图像发送至多个输出接口拼接显示，支持1×2、1×3、1×4、1×5、1×6、1×7、1×8、1×9、1×10、1×11、1×12、1×13、1×14、1×15、1×16、2×1、2×2、2×3、2×4、2×5、2×6、2×7、2×8、3×1、3×2、3×3、3×4、3×5、4×1、4×2、4×3、4×4、5×1、5×2、5×3、6×1、6×2、7×1、7×2、8×1、8×2、9×1、10×1、11×1、12×1、13×1、14×1、15×1、16×1的拼接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可通过客户端软件对接入的云台进行控制；可通过RS-485接口连接键盘实现键盘对接入的云台进行控制；可通过客户端软件对设备进行恢复出厂设置；可将设备当前的解码输出模式设置为一个场景，设备可保存多个场景，并可通过客户端软件切换设备场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(8)具有NTP校时及客户端软件手动校时两种校时方式；支持解码音频格式为G.722、G.711A、G.726、G.711U、MPEG2-L2、AAC、PCM的文件；可对输入的视频画面进行90°旋转显示；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可对以下分辨率的视频图像进行解码后输出：16路分辨率为4000×3000（20fps）的视频图像；32路分辨率为4096×2160（25fps）的视频图像；32路分辨率为3840×2160（25fps）的视频图像；48路分辨率为2592×1944（30fps，25fps）的视频图像；80路分辨率为2048×1536（30fps）的视频图像；128路分辨率为1920×1080（30fps）的视频图像；256路分辨率为1280×720（30fps）的视频图像；可对以下编码格式的视频图像进行解码后输出：H.264、H.265、Smart264、Smart265、MPEG4视频图像；（提供具有CNAS资质认证标识的检测机构出具的型式检验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可通过DVI-I视频输入接口接入分辨率为1024×768（60Hz）、800×600（60Hz）、1280×1024（60Hz）、1280×760（60Hz）、1280×720（60Hz）、1280×720（50Hz）、1280×960（60Hz）、1600×1200（60Hz）、1920×1080（60Hz）、1280×720（60Hz）、1680×1050（60Hz）、1366×768（60Hz）、1280×800（60Hz）、1440×900（60Hz）的视频图像并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可通过VGA视频输入接口接入分辨率为1024×768（60Hz）、800×600（60Hz）、1280×1024（60Hz）、1280×760（60Hz）、1280×720（60Hz）、1280×720（50Hz）、1280×960（60Hz）、1600×1200（60Hz）、1920×1080（60Hz）、1280×720（60Hz）、1680×1050（60Hz）、1366×768（60Hz）、1280×800（60Hz）、1440×900（60Hz）的视频图像并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(12)可通过客户端软件上传分辨率≥1920×1080的JPEG图片，作为墙纸显示在窗口图层底图，可通过客户端软件设置底色，当无解码画面时，设备输出显示该底色；可通过APP客户端对设备输出的视频图像进行控制操作；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(13)设备接入具有智能行为分析功能的摄像机，可解码显示智能行为分析信息，包括移动侦测、越界入侵、区域入侵、起身离开等，并上传报警信息。</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跳线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(1)光纤跳线≥1米，SC-SC</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条</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跳线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(1)光纤跳线≥3米，SC-SC</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条</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(1)管内穿线 RVV-2×1.0mm</w:t>
            </w:r>
            <w:r>
              <w:rPr>
                <w:rFonts w:hint="eastAsia" w:ascii="宋体" w:hAnsi="宋体" w:eastAsia="宋体" w:cs="宋体"/>
                <w:color w:val="auto"/>
                <w:sz w:val="24"/>
                <w:szCs w:val="24"/>
                <w:vertAlign w:val="superscript"/>
              </w:rPr>
              <w:t>2</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769.500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双绞线缆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(1)网络线（超五类）CAT5e utp</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769.450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服务器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(1)智能视频分析服务器：信噪比≥60dB；在1920x1080@25fps下，清晰度≥1100TVL；最低照度彩色≤0.001lx，黑白≤0.0001lx，灰度等级≥11级；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(2)需支持五码流技术，主码流最高≥1920x1080@25fps；子码流≥704x480@25fps；第三码流最高≥1920x1080@25fps；第四码流最高≥704x480@25fps；第五码流最高≥704x480@25fps；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(3)自带点阵白光灯，补光距离≥50米，并可分别调节远光灯、近光灯的亮度；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(4)支持H.264、H.265、MJPEG视频编码格式，可将H.264格式设置为Baseline/Main/HighProfile；需支持DC36V供电，且能在DC36V±25%范围内变化时可以正常工作；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(5)摄像机能够在-40~70摄氏度环境下稳定工作；在丢包率设置为20%的网络环境下，可正常显示监视画面；≥IP67防尘防水、≥IK10防暴等级；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(6)设备与客户端之间用200米网线进行传输，数据包丢包数≤0.1%；需支持本地SD卡存储，支持≥256G；（需提供第三方机构在本招标公告发布前出具的有效检测报告复印件作为考评依据，原件备查）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(7)需具有透雾、强光抑制、背光补偿、数字降噪、走廊模式、电子防抖、ROI感兴趣区域、SVC可伸缩编码、视频水印等功能；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(8)设置密码时，需可以自动提示密码复杂度为高、中、低；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(9)需具有≥1个RJ45接口、≥1路RS485、≥2路RS232、≥1个CVBS接口、≥1路音频输入、≥1路音频输出、≥2路报警输入、≥4路报警输出、≥1个SD卡卡槽、≥1个复位按键；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(10)设备工作状态时，支持空气放电8kV，接触放电6kV。</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安全防范分系统调试</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(1)完全防范系统集成调试 电视监控系统 摄像机（台）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系统</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自助导览系统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控制屏</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55寸落地式户外防水触控：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（一）显示器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尺 寸≥55寸TFT屏（节能型超高亮度LED背光）;分辨率: ≥1080*1920全高清；亮度≥2000cd/m*2 足强阳光直射环境下的清晰图像显示，显示比率（色彩）≥16.7M;响应时间≤5MS;对比度≥5000:1 ;视角≥178°/178°(H/V) 全视角;显示比例16：9 ;可视区域：≥1210*680mm ;TFT屏：全新原装屏;使用寿命：≥6万小时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散热处理（智能温度调控系统）: 智能风扇一体化控温，带电加热，满足-30-+50度的户外环境下显示屏不黑化，整机正常工作；采用离心/轴流风机，配套风扇调速板，自动感温，自动调节风扇转速，节能省电，延长风扇使用寿命；高效多层过滤系统，隔离有害灰尘进入机器内部；传感器: 内置感光探头，可根据户外光线的强弱自动调节LCD显示屏幕的亮度。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（二）触摸屏：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采用10点触摸电容屏,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电容屏工艺：触摸屏采用一种防暴式电容屏设 计;驱动方式:COB;比例:16：9;厚度: ≥34.2mm;表面硬度:≥6H;透光度:≥90%;工作温度:-30℃～+75℃;保存温度:-40℃～+85℃;湿度:90%at60℃;线性度:1PT:+/-1mm,10PT:+/-2.5mm;触摸寿命:≥300,000,000次;最大分辨率:4096×4096;触摸屏响应点数:≥10点;控制器类型:PCBA控制器;连接方式:USB;工作电压:USB5VDC;反应时间:≤10ms;读取速度:≥10PT:80Hz;读取速度:≥100MHz;抗静电.空气放电:≥8KV;抗静电.接触放电:≥4KV。触摸屏防护等级≥IP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（三）外壳：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全数控工艺：钣金外壳采用≥1.5mmSGCC镀锌钢板+户外专用烤漆（汽车金属烤漆、金属光面漆），防腐可达10年。箱体背后采用防水型独立门加锁（LCD显示模组；防尘过滤，电脑控制等三独立。）具备防水防尘防撞击耐高温的优异特性，满足户外全天候恶劣环境使用。特种专用6mmAR钢化夹胶抗紫外线、防眩光、防爆玻璃，防护等为国际标准IP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环境要求：工作温度:-20℃～60℃；操作湿度:20%～85%；存放温度:-30℃～80℃。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（四）计算机：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主板：RK3188-GK001-V0.2,处理器：≥1.6CHz芯微RK3188四核Cortex-A9四核GPU Mai1-400●533MHz,内存：≥2GB DDR3，储存体NANDFLASH 8GB。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（五）其它：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支持平台：Android 4.2及以上版本；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输出/入端口接口：≥2 X RS23，≥2 X USB2. 0/1 X USB OTG，≥1x VGA, ≥1 X HDMI，≥1XRJ45；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声音系统：内置喇叭，可外接扬声器；声音可以自控调节；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输入电压：AC:208～240V60/50HZ；功率；≤390W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（六）所投产品需提供</w:t>
            </w:r>
            <w:r>
              <w:rPr>
                <w:rFonts w:hint="eastAsia" w:ascii="宋体" w:hAnsi="宋体" w:eastAsia="宋体" w:cs="宋体"/>
                <w:strike/>
                <w:color w:val="auto"/>
                <w:sz w:val="24"/>
                <w:szCs w:val="24"/>
                <w:shd w:val="clear" w:fill="FFFF00"/>
              </w:rPr>
              <w:br w:type="textWrapping"/>
            </w:r>
            <w:r>
              <w:rPr>
                <w:rFonts w:hint="eastAsia" w:ascii="宋体" w:hAnsi="宋体" w:eastAsia="宋体" w:cs="宋体"/>
                <w:color w:val="auto"/>
                <w:sz w:val="24"/>
                <w:szCs w:val="24"/>
              </w:rPr>
              <w:t>▲(1)计算机软件著作权登记证书（确保软件效果证书里需要“多点触摸”字样）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(2)提供省 级以上触摸屏防爆证书；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(3)提供触摸屏十指触控投射式电容屏证书；</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控制屏</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42寸落地式户外防水触控：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（一）显示器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尺 寸≥42寸TFT屏（节能型超高亮度LED背光）;分辨率: ≥1080*1920全高清；亮度≥2000cd/m*2 足强阳光直射环境下的清晰图像显示，显示比率（色彩）≥16.7M;响应时间≤ 5MS;对比度≥5000:1 ;视角≥178°/178°(H/V) 全视角;显示比例 16：9 ;可视区域≥930*523 mm;TFT屏：全新原装屏;使用寿命：≥6万小时散热处理（智能温度调控系统）: 智能风扇一体化控温，带电加热，满足-30-+50度的户外环境下显示屏不黑化，整机正常工作；采用离心/轴流风机，配套风扇调速板，自动感温，自动调节风扇转速，节能省电，延长风扇使用寿命；高效多层过滤系统，隔离有害灰尘进入机器内部；传感器: 内置感光探头，可根据户外光线的强弱自动调节LCD显示屏幕的亮度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（二）触摸屏：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采用10点触摸电容屏,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电容屏工艺：触摸屏采用一种防暴式电容屏设 计;驱动方式:COB;比例:16：9;厚度:≥34.2mm;表面硬度:≥6H;透光度:≥90%;工作温度:-30℃～+75℃;保存温度:-40℃～+85℃;湿度:90%at60℃;线性度:1PT:+/-1mm,10PT:+/-2.5mm;触摸寿命:≥300,000,000次;最大分辨率:4096×4096;触摸屏响应点数:≥10点;控制器类型:PCBA控制器;连接方式:USB;工作电压:USB5VDC;反应时间:≤10ms;读取速度:≥10PT:80Hz;读取速度:≥100MHz;抗静电.空气放电:≥8KV;抗静电.接触放电:≥4KV。触摸屏防护等级≥IP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（三）外壳：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全数控工艺：钣金外壳采用≥1.5mmSGCC镀锌钢板+户外专用烤漆（汽车金属烤漆、金属光面漆），防腐可达10年。箱体背后采用防水型独立门加锁（LCD显示模组；防尘过滤，电脑控制等三独立。）具备防水防尘防撞击耐高温的优异特性，满足户外全天候恶劣环境使用。特种专用6mmAR钢化夹胶抗紫外线、防眩光、防爆玻璃，防护等为国际标准IP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环境要求：工作温度:-20℃～60℃；操作湿度:20%～85%；存放温度:-30℃～80℃。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（四）计算机：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主板：RK3188-GK001-V0.2,处理器：≥1.6CHz芯微RK3188四核Cortex-A9四核GPU Mai1-400●533MHz,内存：≥2GB DDR3，储存体NANDFLASH 8GB。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（五）其它：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支持平台：Android 4.2及以上版本；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输出/入端口接口：≥ 2*RS23，≥2*USB2.0，≥1*USB OTG，≥1*VGA, ≥1* HDMI，≥1*RJ45；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声音系统：内置喇叭；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输入电压：AC:208～240V60/50HZ；功率；≤390W</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设备基础</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(1)一体机基础定制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(2)水泥标号不小于C325号硅酸盐水泥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(3)砂：中、粗砂，含泥量不大于5%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(4)石子：卵石战碎石，粒径0.5~3.2cm，含泥量不大于2%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(5)水；应用自来水或不含有害物质的洁净水。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(6)外加剂、掺合料：其品种及掺量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(7)应根据需要，通过试验确定。</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(1)百兆单模单纤光纤收发器板卡式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(1)百兆单模单纤光纤收发器独立式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(1)机架式光纤收发器机框，≥16槽位</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架</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(1)防水机箱 定制 含220V防雷模块 空开等</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控制屏</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42寸落地式室内触控：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（一）显示器：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尺寸：≥42（16:9）；分辨率：≥1080*1920；对比度：≥5000:1；色彩：≥16.7M；亮度：≥450cd/㎡；液晶屏： LED液晶显示屏。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（二）触摸屏：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采用10点投射性电容触摸屏,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触摸屏采用一种防暴式电容屏设 计;电容屏工艺：结构：采用G+G;驱动方式:COB;比例:16：9;面板视窗: ≥930.2*524.2mm;功能片外形: 1000*610*1.1mm ;厚度:≥34.2mm;表面硬度:6H;透光度:≥90%;工作温度:-30℃～+75℃;保存温度:-40℃～+85℃;湿度:90%at60℃;线性度:1PT:+/-1mm,10PT:+/-2.5mm;触摸寿命:≥300,000,000次;最大分辨率:4096×4096;触摸屏响应点数:≥10点;控制器类型:PCBA控制器;连接方式:USB;工作电压:USB5VDC;反应时间:≤10ms;读取速度:≥10PT:80Hz;读取速度:≥100MHz;抗静电.空气放电:≥8KV;抗静电.接触放电:≥4K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（三）其它：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支持平台：Android 4.2及以上版本；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输出/入端口接口：≥2*RS23，≥2*USB2.0，≥1*USB OTG，≥1*VGA, ≥1*HDMI，≥1*RJ45；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 声音系统：内置喇叭，可外接扬声器；由音可以自控调节；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 输入电压：AC:208～240V60/50HZ；功率；≤260W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（四）机柜：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全数控工艺：全数控工艺：机身主体1.5-2.0MM厚钢材冷轧板钢板，包边采用铝型材，壳体材料可防压 防锈、防磁，防静电，防尘 处理。采用环保材料、外表面金属漆或喷塑，散热性能最佳设 计：不锈钢金属表面喷漆柜体，工艺美观大气，内部结构模块化设 计，内置功放，音响。用电部位全部采用接线端子，安全可靠，布局整齐，方便扩展，采用特质走线槽进行电磁屏蔽，开关：在箱体上配置总电源开关、不锈钢金属开关，进电绝缘装置：机柜进电必须配置塑料模具进线板，要求强电和弱电分类整齐走线，液晶板配有高压屏蔽保护罩，线路通过的棱角处理 配有防护措施。电脑安装在机器底座位置，保证机器更加有效散热。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环境要求：工作温度:-10℃～60℃；操作湿度:20%～85%；存放温度:-30℃～80℃。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（五）计算机：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 主板：RK3188-GK001-V0.2,处理器：≥1.6CHz芯微RK3188四核Cortex-A9四核GPU Mai1-400●533MHz,内存：≥2GB DDR3，储存体NANDFLASH 8GB。</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森林防火系统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监控摄像设备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 测温型双视场一体化网络云台摄像机，热成像探测器分辨率≥384×288；人员探测距离（以1.8m的人为准）≥2206m；车辆探测距离（以1.4m*4m的车辆为准）≥6765m；火源探测距离（以2m×2m的火源为准）：4500m；                           </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(2)噪声等效温差(NETD)在20mk及以下；最小可分辨温差（MRTD）≤300mk；宽动态范围≥106dB（可见光要求）；支持自动聚焦、电子防抖、强光抑制、透雾功能、移动侦测（可见光要求）；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热成像镜头支持自动聚焦功能；伪彩：支持15种伪彩自由选择；持防太阳灼伤功能；可见光支持≥49倍光学变焦（可见光要求）；设备整机≥IP67防水等级；支持≥500米激光补光功能；支持雨刷功能;支持多码流技术，可同时输出≥4路码流；（需提供第三方机构在本招标公告发布前出具的有效检测报告复印件作为考评依据，原件备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(4)支持自动增益控制，图像细节增强，数字降噪；支持300个测温预置点，每个预置点可设置测温框、线、点；温度单位摄氏度/华氏度可选；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温度异常报警功能，在探测温度区域中有超过预设温度时，可发出报警信号；温度条显示功能，可在热成像画面上实时显示包含最高温、最低温的温度条；通过IE浏览器可设置温度信息的字体大小及点、线、区域的颜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(6)可通过IE浏览器设置点、线、区域测温、需可设置≥10个点、10个区域和1条线测温；支持手动点击测温功能，在热成像预览画面中，可通过鼠标点击画面中的任意一点，可实时显示此点的温度；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(7)可见光最低照度彩色≤0.001lux，黑白≤0.0001lux（可见光要求）；支持ROI感兴趣区域增强编码，主码流和子码流可分别设置8块感兴趣区域（可见光要求）；旋转角度范围：水平360度，俯仰+40度~-90度；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云台水平键控速度≥180°/s；支持预置位个数≥500个；支持巡航功能，可完成32条巡航路径，每条支持预置点≥128个；电源电压在AC220V±30%范围内变化时，能正常工作；具有模拟音频输入输出口、BNC模拟视频输出口、SD卡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(9)在10%的网络丢包环境中，可正常显示监视画面；IP：在IE浏览器下，输入1个IP可同时浏览可见光和热成像图像；持区域入侵、越界入侵、进入区域、离开区域等四种智能行为分析功能，并可联动目标跟踪；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(10)具有烟火自动识别能力，系统应能有效过滤雾、霾、雪、云、阴天、光线、树枝晃动、建筑、水体、车辆等干扰因素；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(11)巡航范围与巡航周期：识别半径≤5km，巡航时间≤10min；识别半径≤10km，巡航时间≤15min；识别半径≤15km，巡航时间≤30min；火情识别漏报率≤1%；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(12)在识别目标与背景的对比度≥10%时，可见光烟火识别系统基于720P及以上高清分辨率图像进行分析，最小识别烟、火面积≤7×7像素，红外热成像最小识别烟、火面积≤1×1像素；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识别半径≤5km，可见光烟火识别系统最小识别监控烟、火面积≤9m2，红外热成像最小识别监控烟、火面积≤2m2；识别半径≤10km，可见光烟火识别系统最小识别监控烟、火面积≤15m2，红外热成像最小识别监控烟、火面积≤4m2；识别半径≥10km，可见光烟火识别系统最小识别监控烟、火面积≤25m2，红外热成像最小识别监控烟、火面积≤9m2。（14）防护等级≥IP67；水平方向360°连续旋转，垂直方向-90°～40°；电源：AC24V，130W MAX；工作温度和湿度：-40℃-65℃，湿度小于等于90%；</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监控摄像设备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(1)智能红外网络枪型摄像机：具有400万像素1/2.7”CMOS传感器，镜头≥4mm, 水平视场角≥82.5°；最大分辨率2560x1440；需具有20路取流路数能力，以满足更多用户同时在线访问摄像机视频；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(2)最低照度彩色≤0.001lx，≤黑白:0.0001lx，灰度等级≥11级；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(3)红外补光距离≥55米；需支持三码流技术，可同时输出三路码流，主码流最高2560x1440@30fps，第三码流最大2560x1440@30fps，子码流704x576@30fps；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(4)在2560x1440@25fps下，清晰度≥1400TVL；支持H.264、H.265、MJPEG视频编码格式，且具有HighProfile编码能力；信噪比≥58dB；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(5)需支持宽动态功能，宽动态范围:120dB；；需支持≥8行字符显示，字体颜色可设置，需具有图片叠加到视频画面功能；支持区域遮盖功能，并能支持≥8块区域；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(6)需具有黑白名单功能，其中白名单可添加≥10个IP地址；需支持智能后检索功能；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(7)需具备人脸检测、区域入侵检测、越界检测、虚焦检测、进入区域、离开区域、徘徊、人员聚集、逆行、音频异常、场景变更等功能；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(8)需具有电子防抖、ROI感兴趣区域、SVC可伸缩编码、自动增益、背光补偿、数字降噪、强光抑制、防红外过曝、走廊模式、视频水印等功能；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(9)摄像机能够在-30~60摄氏度，湿度≤93%环境下稳定工作；≥IP67防尘防水等级；≥1个RJ-4510M/100M自适应网络接口；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(10)需具有通讯接口≥1个RJ45 10M / 100M 自适应以太网口，≥2路报警输入、≥2路报警输出、≥1个音频输入、≥1个音频输出接口，需支持MP2L2、AAC和PCM音频编码；通过网线传输检验；在传输距离为100米时，在客户端连续向设备发送1000个数据包重复测试3次，每次数据包丢失数不大于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(11)需支持DC12V供电，且在≥DC12V±30%范围内变化时可以正常工作；设备工作状态时，支持空气放电≥8kV，接触放电≥6kV，通讯端口支持6kV峰值电压；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(12)需支持本地SD卡存储，支持≥128G，并支持存储卡可使用时长显示；支持≥1个BNC模拟视频接口；需具有≥20路取流路数能力，以满足更多用户同时在线访问摄像机视频；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(13)静止场景相同图像质量下开启智能编码方式后，相比不开启此功能，码率可节约≥1/3；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(14)同一静止场景相同图像质量下，设备在H.265编码方式时，开启智能编码功能和不开启智能编码相比，码率节约1/2。</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电子设备防雷接地装置</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(1)网络防雷器； BAX系列网络信号浪涌保护器是专为通讯、计算机网络，办公电子设备或家庭电子设备的防护设 计，保护其避免遭受感应过电压和操作过电压的损害。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(2)该产品输入、输出采用RJ45接头串联保护。</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电子设备防雷接地装置</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(1)电源防雷器：低压直流电源浪涌保护器，适用于低压配电系统及直流供电系统的末级保护，依据不同的直流/交流电源电压可选择相应的规格。</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存储设备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网络智能存储：单设备应配置≥64位多核处理器，≥8GB内存，内存支持扩展到≥32GB，需配置冗余金牌电源，支持双系统；单设备应标配≥2个千兆网口，可增扩≥2个万兆口或≥2个光纤接口或增配≥4个HDMI接口或≥2个SAS3.0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(2)应支持FCSAN、IPSAN、NAS存储功能；可接入2T/3T/4T/6T/8TSATA磁盘，支持磁盘交错启动和漫游，并支持在线热插拔；可接入硬盘≥24块，支持SATA和SAS混插，并支持≥12级扩展柜级联扩展；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(3)应能提供RAID0、1、3、5、6、10、50，60、JBOD模式，支持全局、局部等多种热备 选择，支持坏盘自动重构；设备可对视音频、图片、智能数据（智能行为分析录像）流进行混合直存，无须存储服务器和图片服务器的参与，平台服务器宕机时，存储业务正常；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(4)应能接入并存储2800Mbps视频图像，同时转发4000Mbps的视频图像；同时回放512Mbps的视频图像；支持≥600MBps图片并发输入，同时≥600MBps图片并发输出；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当RAID中某块工作正常的硬盘被误拔出后，60分钟内插回，该硬盘能恢复到原RAID中，系统自动恢复工作，而且会对拔掉的硬盘进行增量数据恢复；在RAID内丢失2块（含）以上硬盘但至少有1块正常磁盘时，无需等待丢失盘恢复，保留的硬盘中的数据可正常读出，且新数据可正常写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接入单前端设备不超出30路码流冗余存储；根据数据对象的重要性（例如：系统信息、配置信息、报警录像、普通录像等）、访问频率等属性按照预先设定的分层存储区域可进行自动分层存储并可实现快速访问；设备在不增加任何外围服务器硬件的情况下可由存储设备直接进行虚拟化系统部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(7)设备应能预录报警触发前1-40分钟的视频录像；可接入MPEG4、H.264、H.265、Smart265、SVAC编码格式的前端设备并存储录像文件；可在视频画面上绘制区域或界线，检索指 定范围内的报警录像；可输入车牌号码可查证出相关图片和视频；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可按照报警事件进行检索；可通过客户端将交通卡口数据（包括车标、车道、车速范围、车牌及车身颜色），行为分析的图片及数据（包括进入警戒线、进入警戒区、物品遗留、人脸检测）进行检索、查看、下载图片及进行录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网络中断后重新恢复，设备可续存断网期间存储在前端设备中的录像文件，并可通过IE浏览器设置自动回传和手动回传；支持≥256路4M的录像回传；提供多设备同步升级功能，可以通过一键式操作对整个局域网内的所有设备同步升级；（需提供第三方机构在本招标公告发布前出具的有效检测报告复印件作为考评依据，原件备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(10)当录像视频流发生丢失5s以上可在日志中记录报警信息；具有ONVIF、PSIA、TCP/IP、UDP、SIP、RTSP、RTP、RTCP、iSCSI、CIFS(SMB)、NFS、FTP、HTTP、AFP、RSYNC、SNMP、IPV4、IPV6设置选项，支持IP组播；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设备可将接入的鱼眼摄像机、双目摄像机、全景自拼接摄像机（鹰眼摄像机）、深眸智能摄像机、热成像相机的图像以多画面分割方式显示；可通过IE浏览器对一台、多台样机或扩展柜中的磁盘进行定位，使对应的磁盘指示灯闪烁，闪烁的时长可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设备可同时支持视频、图片、智能流和文件直写存储；支持多路文件采用非NAS方式直接上传存储，且速度可设置；通过客户端软件添加及删除手机号，启用短信网关报警功能后，可向添加的手机号码发送电源异常、系统卡容量不足、存储空间异常、自动修复失败、私有卷IO异常、无可用逻辑卷等报警信息，报警种类可设；（需提供第三方机构在本招标公告发布前出具的有效检测报告复印件作为考评依据，原件备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(13)可对指 定的录像段或指 定事件的1个或多个前端的不同时间段的录像段添加标签，并自动备份到存档卷中，使之不会被覆盖删除；可根据事件名 称查询所有相关联的不同前端或时间的录像段并进行回放和下载；（需提供第三方机构在本招标公告发布前出具的有效检测报告复印件作为考评依据，原件备查）</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存储设备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(1)硬盘≥4T 4000G/5900RPM/64M/6GB/SATA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视频控制设备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(1)森林智能防火与应急决策综合系统平台：2U机架式机箱设 计，全模块化设 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(2)配置≥1颗Intel Xeon E5-2620 V4,主频≥2.1GHz,八核心；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(3)配置≥16GB DDR4 ECC内存，支持≥4根内存插槽；支持DDR4 2133/1866 ECC内存，最大可扩展至512GB内存；</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(4)平台支持注册管理≥10000个用户，支持≥100个用户并发登录；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(5)平台支持查看在线用户ID，管理员可强制在线用户下线；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(6)平台支持角色功能访问权限和资源访问权限的授权管理，并支持访问权限批量分配；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(7)支持按组织或按资源点分配角色权限，支持批量授予用户角色和批量分配用户角色；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(8)支持管理≥10000个监控点，支持网络摄像机SDK、GB28181、ONVIF等多种接入配置方式；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(9)支持远程配置、同步编码设备基本参数、网络参数，远程重启设备，远程设备校时；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(10)支持乡镇林场监控前端、区县级指挥中心、市 级指挥中心、省 级指挥中心、国家防火指挥中心五级组织目录结构；</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(11)支持增加、删除和修改组织节点，组织节点顺序调整、组织目录导入等；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(12)支持B/S、C/S和移动客户端方式访问平台；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(13)支持巡航预置点设置并进行预置点巡航，支持巡航轨迹设置并进行连续巡航；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(14)支持≥400路2Mbps码率实时视频流的转发和分发，同时支持负载均衡；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(15)支持WEB端1/3/4/6/7/9/12/15/24画面分割显示及切换，支持客户端1/3/4/6/7/9/12/15/24/36/49/64画面分割显示及切换；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(16)支持WEB端或客户端监控点信息(分辨率、码率、帧率等)显示、语音对讲、开/关声音、音量控制、主/子码流切换、第三码流切换、抓图、多图抓拍、3D放大；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(17)支持WEB端或客户端上进行PTZ控制、监控点经纬度标注、云台锁定和解锁等；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(18)支持和前端摄像机语音对讲，并支持手动与自动录音；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(19)支持计划录像、告警录像两种录像模式，不同类型录像以不同颜色进行区分；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(20)支持按时间、监控点、存储位置（中心存储、前端设备存储）检索录像；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(21)回放支持1/4/9/16画面分割，支持自适应画面显示;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(22)回放时支持暂停、单帧进、单帧退、播放速度控制（1/16、1/8、1/4、1/2、1、2、4、8、16倍速）、多路视频的同步/异步回放；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(23)回放支持分段回放，以分段缩略图展示录像片段, 支持录像文件增加/删除标签;</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(24)支持轮巡预案配置，可设置对窗口布局、轮巡点顺序、监控点预置位、码流、预案执行时间等参数；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(25)电视管理：支持显示屏拼接、开窗、漫游、预览/回放上墙、报警联动录像上墙，支持在客户端上查看显示屏上的画面（画面上显示监控点名 称、分辨率、码率、帧率等参数）；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(26)支持可见光+热成像的双光谱摄像机的接入，具备火情预警、火情联动和火情管理功能；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(27)火情识别：支持可见光与热成像识别技术，可见光支持前端和后端分析；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(28)支持火点定位：当检测到烟火后，系统锁定目标，由当前瞭望塔的高度，云台的水平转交和垂直俯仰角，镜头的焦距，结合三维地理信息系统，依据公式测算出发生森林火灾的具体位置，在地图上进行醒目标注；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(29)灾后评估：在进行火点定制的同时，不仅可以查看火点所在位置的详情，而且可以根据火场范围进行灾害评估，为火险灾情评估提供一定的参 考依据；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(30)报警管理：支持多种联动方式，包括客户端弹窗、声音告警、预置点、录像、抓图、邮件、视频上墙；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(31)移动设备管理：支持电子地图上实时显示接入的移动定位设备位置，支持移动设备语音对讲；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(32)运维管理：支持对监控点在线情况、设备运行情况等数据定时生成报表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电杆组立</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(1)立杆、横杆皆为八角杆，H=6米，含地笼含基础；</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(2)所有钢件皆热镀锌防腐处理后，表面聚脂粉体涂装：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(3)所用材质不低于Q235；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(4)所有漏锌孔在镀锌以后必须密封(表面光滑)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(5)安装后横臂垂直于车辆行驶方向，地脚螺栓2个安装孔平行于车辆行驶方向；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(6)立杆封盖采用活式，横臂封盖焊封。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(7)杆件基础；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(8)水泥标号不小于C325号硅酸盐水泥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(9)砂；中、粗砂，含泥量不大于5%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(10)石子：卵石或碎石，粒径0.5~3.2mm，含泥量不大于2%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(11)水：应用自来水或不含有害物质的洁净水。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(12)外加剂、掺合料：其品种及参量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(13)应根据需要，通过试验确定。</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根/基</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(1)室外落地防水机箱</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不间断电源设备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(1)1KVA UPS主机含2个小时后备电池：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(2)微处理器 CPU控制，确保更高的可靠性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(3)单进单出纯在线双变换式产品，支持220V, 50/60Hz电网体系，提供最佳的供电质量与负载保护；</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(4)先进的工作模式，双变换在线式设 计，使UPS的输出为纯净正弦波，为负载提供全向的保护：</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(5)输出零转换时间，满足精密设备对电源的商 标准要求；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(6)采用高频全桥拓扑技术，保证UPS高稳 定 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(7)内置静态旁路，为负载提供更好的保护；</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(8)宽广的电压范围，逻免电网电压变化大时频紫地切换至电池供电模式。从而可以延长电池寿命；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(9)直流开机功能，在没有市电的时候可以开机使用，具备直流冷启动功能更能满足UPS的应题使用；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(10)集交流输入过、欠压保护输出过载、短路保护，电池欠压预警保护和电池过充保护等多功能保护体， 极大地保证系统运行的稳 定 性和可推性；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(11)经济运行模式功能，当输入市电在固定范围内时，直接由输入市电户负载提供能最，逆变处于等待状态；当输入市到异常时，立即变为逆变供电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(12)RS232 本地监控，通过安装我公可附送的监控软件，可以方使地进行本地监控；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(13)SNMP卡(选件)，通过配SNMP卡可以将UPS接入以太网实现远程控制；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(14)充电方式为三段恒压恒流技术，有效保护电池，对电池进行除硫，以延长电池寿命：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(15)胶体蓄电池设 计寿命≧10年，单节蓄电池12V80AH*2节，采用高强ABS塑料电池槽、盖，结构紧凑，具有耐冲击，抗震动性能好，多层密封技术和特殊的密封胶，确保电池无泄漏，无酸雾逸出，安全可靠。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(16)UPS采用LCD液晶屏显示，用户读收方便。</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(1)管理电脑：≥ CPU i5；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(2)显卡：独立显卡；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(3)硬盘：≥ 500G(SATA/7200转)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(4)光驱； DVD；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(5)显示器： ≥19寸：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(6)USB键盘鼠标套件。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光电转换器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(1)百兆单模单纤光纤收发器独立式 一光四电</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(1)室外96芯层绞式单模光缆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23346.800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(1)室外36芯层绞式单模光缆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12288.400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(1)室外24芯层绞式单模光缆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8339.600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(1)室外12芯层绞式单模光缆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15976.400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(1)室外4芯单模光缆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53351.100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电缆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(1)铜芯电力电缆敷设YJV-3×6mm</w:t>
            </w:r>
            <w:r>
              <w:rPr>
                <w:rFonts w:hint="eastAsia" w:ascii="宋体" w:hAnsi="宋体" w:eastAsia="宋体" w:cs="宋体"/>
                <w:color w:val="auto"/>
                <w:sz w:val="24"/>
                <w:szCs w:val="24"/>
                <w:vertAlign w:val="superscript"/>
              </w:rPr>
              <w:t>2</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25431.800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光缆终端盒</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(1)光缆接线盒 室外防水型</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光缆成端接头</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(1)光缆熔接 单模</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芯</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布放尾纤</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(1)布放尾纤 单头单芯单模</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根</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光缆终端盒</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(1)室外防水熔接包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交接间配线架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(1)机房ODF光纤配线架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(2)288芯ODF光纤配柜，含耦合器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交接间配线架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(1)光纤交接箱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(2)192芯ODF光纤配线箱</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 材质；高密度聚乙烯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(2)公称外径：φ32mm</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(3)原材料硬度：邵氏D61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(4)耐压性：应能承受0. 5h, 0.6Mpa压力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(5)拉伸强度：≥18Mpa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(6)抗侧压强：在1500N/ 100mm压力下，扁径不小于硅芯管外径的70%，卸荷后检测能恢复到硅芯管外径的90%以上，硅芯管无裂纹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(7)内壁摩擦系数；≤0. 25</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2464.200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(1)材质；高密度聚乙烯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(2)公称外径： φ80mm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(3)原材料硬度：邵氏D61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(4)耐压性：应能承受0. 5h, 0.6Mpa压力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(5)拉伸强度：≥18Mpa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(6)抗侧压强：在1500N/ 100mm压力下，扁径不小于硅芯管外径的70%，卸荷 后检测能恢复到硅芯管外径的90%以上，硅芯管无裂纹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(7)内壁摩擦系数；≤0. 25</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12034.700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(1)材质；高密度聚乙烯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(2)公称外径： Φ110mm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(3)原材料硬度：邵氏D61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(4)耐压性：应能承受0. 5h, 0.6Mpa压力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(5)拉伸强度：≥18Mpa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(6)抗侧压强：在1500N/ 100mm压力下，扁径不小于硅芯管外径的70%，卸荷 后检测能恢复到硅芯管外径的90%以上，硅芯管无裂纹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(7)内壁摩擦系数；≤0. 25</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14656.900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(1)安装方式：螺接镀锌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(2)公称内经：DN80mm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(3)壁厚：≥3. 5mm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(4)防腐油漆、接地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214.800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(1)安装方式：螺接镀锌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(2)公称内经: DN80mm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(3)壁厚：≥3. 5mm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(4)防腐油漆、接地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(1)塑料管粘接砖、混凝土结构暗配PVC32mm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(2)公称直径：Φ32mm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(3)壁厚：≥2. 5mm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(4)材质B2耐燃材质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2391.400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人（手）孔井</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(1)手孔井</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(2)井内净空尺寸:≥400mm×500mm×750mm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(3)MU10泥凝土砖M5水泥砂浆砌筑120mm厚</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(4)内墙1：2水泥砂浆抹面：≥10mm厚</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(5)轻型球墨铸铁井盖：≥400mm×500mm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 100mm夯实细砂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120mm手摆石块灌砂</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挖沟槽土方</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(1）三类土 深度2m以内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4275.000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挖沟槽土方</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(1）三类土 深度2m以内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505.360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回填方</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(1)回填砂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(2)密实度按设 计要求</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1480.100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回填方</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(1)利用原土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(2)三类土</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3158.640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回填方</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(1)场内开挖土方 就地回填</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1136.980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电子巡更系统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数据采集及巡回检测报警装置</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1.感应式巡更棒，结构介绍：合金外壳、外壳胶套、硅胶内胆、亚克力面板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2.防护等级：≥IP67（6：完全防止粉尘进入  7：可于短时间内耐浸水（ 1m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3.超长待机：1150mAh聚合物锂电池，读卡≥500次/天，≥26天</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4.通讯方式：防水、防破坏全新型触点式USB无线通讯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5.夜视功能：具备手电照明功能</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出入口控制设备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(1)通讯座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(2)通过USB线直接上传数据到电脑</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出入口控制设备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(1)信息钮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(2)圆形点卡，读卡距离≥3.5cm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显示设备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(1)标识牌</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附属设备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(1)人员卡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(2)使用人员卡可以实现多人共用一台巡更机。可以把巡更计划安排到人，责任落实到人。</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对讲系统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通讯网络控制设备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(1)对讲机，标准配置：一电一充、USB数据充电线、耳麦、座充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(2)外观设 计：三防对讲手机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(3)防水级别：≥IP67</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(4)屏幕显示：≥2.4英寸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(5)电池容量：≥2000mAh（通话：≥310分钟；待机：≥200小时）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(6)网络支持：CDMA2000 EVDO Rev.A，800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(7)基带芯片：Qualcomm QSC6085-1  应用处理器：Qualcomm QSC6085-1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(8)操作系统：BREW3.1.5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(9)内存：RAM:≥64MByte，ROM:≥128MByte</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(10)扩展内存：T卡8G</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(11)摄像头：有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(12)FM：支持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(13)蓝牙：支持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(14)耳机接口：3.5mm标准接口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(15)USB：HS2.0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(16)GPS导航：支持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(17)基本功能：电话、闹钟、BOX大喇叭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(18)特色功能：对讲、GPS定位、MP3、MP4</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(19)增值业务：WAP浏览、手机备份、号码百事通、彩信、BREW</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寻呼基站联网调测</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(1)寻呼基站系统调试 一个频点</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站</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显示设备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(1)P6户外全彩色显示屏，像素间距：6mm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(2)点密度：27777点/ m2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(3)LED灯种类：SMD3535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(4)像素点组成：1R1G1B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(5)模组尺寸：192mm×192mm×15mm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(6)模组分辨率(宽×高)：32像素×32像素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(7)箱体尺寸：960mm*960mm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(8)箱体分辨率：160像素×160像素</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(9)亮度：5000cd/m2可调（色温6500K）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(10)视角：160°/160°（水平视角/垂直）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(11)平整度：≤0.1mm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(12)亮度均匀性：≥97%</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(13)色度均匀性：±0.003  Cx,Cy之内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(14)对比度：≥2000:1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(15)防护等级：≥IP65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(16)信号颜色处理位数：红、绿、蓝各≥14bit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(17)驱动方式：恒流 DP5020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(18)扫描方式：1/8扫描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(19)刷新率：≥1200Hz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(20)换帧频率：≥60Hz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(21)屏体色温：2000K～9500K可调</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(22)亮度调节方式：手动/自动/程控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(23)校正：配备亮度与色度逐点校正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(24)控制方式：同步映射控制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(25)控制距离：超五类双绞网线,超过100米使用光纤传输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(26)软件接口：Windows XP /7/8/10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(27)工作电压：AC：110V~240V、50~60Hz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(28)峰值功率：≤800W/ m2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(29)平均功率：≤350W/ m2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(30)连续工作时间：≥7×24hrs，支持连续不间断显示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(31)平均无故障工作时间：≥10000小时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(32)LED寿命：≥10万小时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(33)离散失控点：≤0.0001，出厂时为0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(34)连续失控点：0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(35)盲点率：≤0.0001，出厂时为0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(36)屏幕温升（使用运行状态）：≤20度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(37)运行环境温度：-10℃～60℃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(38)运行环境湿度：10％～90％RH，无凝结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（一）安全要求：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(1)产品采用专业的全封闭式防尘设 计，具备优良的防尘特性，产品具备IP6X防尘功能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(2)LED显示屏具备良好的耐高底温、盐雾、阻燃、防紫外线的特性</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(3)模组最大功耗：27.5W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(4)额定频率或额定频率范围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(5)额定电流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(6)显示屏输入到外壳和电源输入到外壳抗电强度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（二）供电：</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(1)工作电压：AC220/100±15%V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(2)平均功耗：≤280W/㎡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(3)最大功耗：≤800 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（三）LED控制系统：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(1)LED显示屏专用软件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(2)操作系统：WIN XP/7</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(3)控制方式：同步控制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通讯网络控制设备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(1)全彩发送卡：发送卡能智能适应显示器的当前分辨率，而自动匹配任何品 牌显卡输出的分辨率；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(2)具有单点亮度及色度的校正技术；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(3)发送卡像素点灵活设置网口的带载控制面积。</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通讯网络控制设备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(1)全彩接收卡+转接卡：板载12个HUB75的16P接口,不再需要转接卡；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(2)支持12位的HDMI颜色输入；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(3)采用18位信号处理器，最大支持红绿蓝各18位(26万级)灰度；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(4)单卡最大支持1024×256像素点，1024级单点色度校正；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(5)支持单卡色度空间变换；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(6)支持程序复制；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(7)支持双接收卡热备份，用于要求极高的演出屏。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(l)配电箱 含空开及防雷器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扩声系统设备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(l)功放(定压)：功放一台，音箱2个(分布式布放；放置在屏体两侧；布放位置应考虑声音效果)；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(2)定压：70V/120V，频率响应：4OHz～16KHz±2dB，线路输入：47K -10dB，线路输出：100w/100v +4dB；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(3)可接四路分区输出控制110V音响</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(4)路线路输入，2路线路输出，可接CD/音源；话筒及线路有独立调音；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(5)有可靠的短路、过载、过热，过压保护。</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扩声系统设备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(1)主音箱 100w 音柱</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(1)管理电脑：≥CPU i5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(2)内存：≥4G(DDR4 1600MHz)；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(3)显卡：独立1G显卡；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(4)硬盘：≥500G(SATA/7200转)；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(5)千兆网口：≥1个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(6)光驱：DVD；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(7)显示器：≥19寸；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(8)USB键盘鼠标套件，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风扇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(1)防护系统设备散热风扇 定制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设备基础</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(1)一体机基础定制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(2)水泥标号不小于C325号硅酸盐水泥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(3)砂；中、粗砂，含泥量不大于5%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(4)石子：卵石或碎石，粒径0.5～3.2cm，含泥量不大于2％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(5)水：应用自来水或不含有害物质的洁净水。</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(6)外加剂、掺合剂：其品种及参量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(7)应根据需要，通过试验确定</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m3</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收发器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(1)百兆单模单纤光纤收发器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(2)独立式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系统调试</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(1)信息发布系统调试</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台/户</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紧急求助及广播系统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数字网络广播主机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一、主要特征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(1)机箱采用国标8U机架式钣金标准结构，有较高的防磁、防尘、防冲击的能力；用专业数控设备加工铝合金面板，造型美观大方。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(2)采用≥15英寸工业级加固触摸电容屏，灵敏度高，简单方便操作。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(3)配置≥256GBSSD固态硬盘，具有超快速的系统启动速度，以及超高速的读写能力；</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(4)配置精巧鼠标键盘，方便用户操作；</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(5)使用工业级主板设 计，处理任务速度快，适用于长时间运行；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(6)使用工业级服务系统作为核心操作平台，使系统免于病毒的干扰与破坏；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(7)C/S架构平台操作系统，支持局域网和广域网传输</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(8)外接高清HDMI接口，方便用户扩展显示屏接口。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(9)服务器是音视频软件运行核心，支撑各广播终端的运行；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(10)负责音频流传输管理、终端管理、用户管理、节目播放管理、音频文件管理、录音存贮、内部通讯调度处理等功能；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(11)管理节目库资源，为所有音频终端器提供定时播放和实时点播媒体服务。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(12)支持对各个终端工作进行实时温度检测。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(13)采用加密狗管理，方便用户选择，（含广播服务软件）；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(14)支持文件广播管理、定时管理、离线管理、硬件状态管理、对讲管理、报警管理、用户管理、授权管理、媒体管理、网络自适应管理。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(15)支持全系列日志查询，终端播放状态、控制、上下线、定时、触发、消防、呼叫、对讲、报警等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(16)支持声卡采播、外部音源采播。可以随时把音源采播到所需播放终端。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(17)需设有外部编码终端功能，可采集多个外部音源信号，指 定到不同分区同时输出；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(18)软件支持第三方平台接口开发，提供标准的SDK包，实现与其他系统平台整合</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二、技术指标:</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(1)立体声输出；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(2)频率响应：20-20KHZ(≤±3dB)；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(3)信噪比：≥75dB；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(4)谐波失真：≤1%；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(5)工作温度:5℃-45℃；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(6)工作湿度：20%-80%相对湿度，无结露；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(7)功耗：≤160W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(8)电源电压范围：AC180-240V</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(1)IP网络广播电源控制器：设有RS485通讯接口，支持广播控制主机控制；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(2)采用数字化技术，可控制电源按顺序开启/关闭，保护电网不受冲击，设有安全锁供手动紧急控制；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(3)最大支持~220V/6000W功率输入，分为 16路电源接口输出，每路接口可承受~220V/3000W功率输出；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(4)设有1路紧急接口输入，方便与其他设备连接使用。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(5)2U标准机箱设 计，铝合金面板，美观实用。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(6)电源功耗≤15W</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节目定时播放器：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(1)≥真彩色TFT3.0英寸液晶显示屏，中文菜单，单键飞梭，图形界面，人性化操作，简单易懂；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(2)内置收音机播放器及MP3 解码器，自带2G内存， 最大可做到32G，也可外接2G~32G SD卡；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自带3路控制电源、8路分区控制，支持MIC、线路及收音机录音，也可支持消防联动紧急广播，并结合人性化广播软件，实现电脑联机编程控制（可提供红外线遥控给予选择），支持本地呼叫、远程MIC呼叫，并可实现定点呼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(4)支持远程无线遥控控制，最远距离可达100米。</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(5)▲须提供所投产品：3C、质量检测报告、中国节能环保产品证书。</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(1)数字调协器：采用石英锁相环路频率合成器式调节回路，接收频率精确稳定，设有高亮度动态VFD荧光显示，清晰醒眼；</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(2)支持调频、调幅（FM/AM）立体声二波段接收选择，电台频率记忆存储可达99个；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(3)两组接收天线输入：AM接收天线输入，FM接收天线70Ω输入；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(4)具有电台频率自搜索存储功能，且有断电记忆功能；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(5）2路音频信号左右声道输出，输出频响范围为20~20KHz；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(6)设有轻触式按键操作，可直接输入频率电台播放；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(7)2U标准机箱设 计，铝合金面板，美观实用。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(8)电源功耗≤15W</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(1)DVD播放器：采用数码机芯，具有超强电子抗震功能，设有高亮度动态VFD荧光显示，清晰醒眼；</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(2)支持CD, VCD,DVD, MP3音频格式，可外接USB盘播放MP3音乐，2路音频信号左右声道输出，输出频响范围为20~20KHz，设有轻触式按键操作，可选择单曲播放、全部播放、单曲循环、全部循环、停止播放等功能；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(3)配有遥控控制；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(4)2U标准机箱设 计，铝合金面板，美观实用。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(5)电源功耗≤15W</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扩音系统设备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IP网络室外音柱</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一、主要特征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(1)标配1个10/100MRJ45网络交换机接口，支持局域网与广域网；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(2)设有节目点播，可通过服务器软件自由点播服务器中节目；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(3)内置数字功率放大器模块，≥40W功放输出；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(4)音频文件支持MP3格式；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(5)支持定时任务功能；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二、技术参数：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(1)网络接口：≥1组RJ45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(2)传输速率：100Mbps/10Mbps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(3)支持协议：TCP/IP,UDP,IGMP(组播)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(4)音频格式：MP3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(5)采样率：8K～48K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(6)功率输出：≤40W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(7)频率响应：80Hz—16KHz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(8)谐波失真：THD≤0.1%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(9)信噪比：≥70dB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(10)保护电路：过载、过温、短路保护电路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(11)工作温度：-5℃～60℃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(12)工作湿度：20%～80%相对湿度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(13)防水等级：≥IP66</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(1)麦克风，换能方式: 电容式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(2)频率响应  40Hz-16KHz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(3)指向性: 超心型指向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(4)输出阻抗（欧姆） : 200Ω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(5)灵敏度 : -38dB±2dB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(6)供电电压(V): DC9V/幻象48V 自动转换</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 输出、指示：平衡、管灯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(8)开关：电子轻触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(9)抗手机、电磁、高频干扰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(1)IP网络广插呼叫话简：标配1个10/100M  RJ45网络交换机接口，支持局域网与广域网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(2)采用≥3寸高亮LCD屏显示,设有轻触式按键与一键飞梭控制，操作简单易懂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(3)设有全双工双向对讲功能，输入ＩＰ终端机号可实现广播或对讲；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(4)设有远程呼叫功能，可实现全区、分组或独立分区自由选择呼叫；</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(5)设有文件广播功能，可远程控制服务系统上的节目播放到任何终端，并可控制音量调节</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(6)设有现场监听功能，可对每个具有监听拾音器终端的工作状态进行监听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(7)设有节目点播功能，可通过面板上的键盘自由点播服务器上的歌曲</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(8)采用高指向拾音麦克风及2W全频喇叭，声音洪亮清晰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(9)把终端本身自带线路输入信号，实时编码成高音质音频数据流广播到指 定的终端；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(10)设有带来电提醒和呼叫钟声提示功能，并具有多个终端同时寻呼自动排队等待或转接功能</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背景音乐系统设备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IP网络一键求助对讲终端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一、主要特征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（1）标配≥1个10/100MRJ45网络交换机接口，支持局域网与广域网</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（2）壁挂式IP网络一键求助对讲终端,一键完成全双工双向对讲，操作简单快捷；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（3）产品坚固耐用，采用高档铝拉丝面板，可嵌入墙壁或明装；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（4）设有全频全向高灵敏度咪芯及2W全频喇叭扬声器，支持免提通话和接收广播；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（5）设有≥1路本地线路输出接口，可外接有源音箱或耳机进行对讲及接收广播；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（6）设有≥1路线路输入接口，可外接音源输入；</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（7）设有≥1路短路输出，可用于电子门禁或报警；</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（8）外置≥1路10W功放，可以扩展外部音箱使用；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二、技术参数</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（1）电源：DC12V/1A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（2）网络接口：≥1组RJ45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（3）传输速率：100M/10M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（4）支持协议：TCP/IP,UDP,IGMP(组播)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（5）音频格式：MP3</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（6）采样率：8K～48K</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（7）AUX灵敏度：-12dB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（8）MIC灵敏度：-40dB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（9）待机功耗：≤3W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（10）频率响应：20Hz～20KHz±1dB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（11）谐波失真：THD≤0.1%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（12）信噪比：≥70dB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（13）工作温度：5℃～40℃</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(1)管理电脑：≥ CPU i5；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(2)内存： ≥4G(DDR4 1600MHz)；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(3)显卡： ≥独立lG显卡；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(4)硬盘： ≥500G(SATA/7200转)；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(5)千兆网口：≥1个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(6)光驱： DVD；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(7)显示器：≥ 19寸；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(8)USB键盘鼠标套件。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RVV-2×1.0m㎡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463.100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管内配线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(l)双绞线缆4对 CAT5e UTP</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463.100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机房安装工程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机房电气工程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配电箱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(1)市电配电箱：含空开接线排等全套配件，含铜鼻子DN50，DN35, DN16</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桥架</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(l)钢制桥架MR-100mm×100mm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(2)支架安装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配管</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(1)扣压式薄壁电气钢导管敷设 砖、混凝士结构暗配 KBG20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(2)防腐油漆、接地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RVV-5×10m㎡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RVV-5×4m㎡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RVV-3×6m㎡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RVV-3×4m㎡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RV-35m㎡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BVR-2.5m㎡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配线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(l)管内穿线 BVR-1.5m㎡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荧光灯</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(1)三管格栅灯(600mm×600mm)/3×20W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(2)吊挂安装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荧光灯</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(1)应急事故照明灯(600mm×600mm)/3×20W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(2)吊挂安装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信号灯</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(1)安全出口灯</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照明开关</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(1)四联开关 10A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照明开关</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(1)双联双位开关 10A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照明开关</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(1)四联双位开关 10A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插座</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(1)单相五孔插座 10A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插座</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jc w:val="both"/>
              <w:textAlignment w:val="center"/>
              <w:rPr>
                <w:color w:val="auto"/>
              </w:rPr>
            </w:pPr>
            <w:r>
              <w:rPr>
                <w:rFonts w:hint="eastAsia" w:ascii="宋体" w:hAnsi="宋体" w:eastAsia="宋体" w:cs="宋体"/>
                <w:color w:val="auto"/>
                <w:sz w:val="24"/>
                <w:szCs w:val="24"/>
              </w:rPr>
              <w:t>(1)地装单相五孔播座 10A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插座</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(1)地装多媒体插座 10A</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接地极</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(l)接地极板(块)铜板</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根/块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接地装置</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(1)接地网检测</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系统</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机房环境监控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不间断电源设备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(1)不间断电源(容量60kV·A)： 60KVA总体要求：输出功率≤48KW；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(2)整体效率(正常模式)： 负载100% 效率为92%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(3)整体效率(经济模式)： 负载100% 效率98%；</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(4)防护等级(EN 60529)IP21；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(5)安规标准：GB4943，EN 50091-1： 电磁兼容： GB7260. 2 GB/T 17626.2~5EMC, EN 50091-2；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(6)输入部分： 电压范图：  165V~275V (Ph-N)/285V~475V(Ph~Ph),  整流输入频率范围 46Hz 54Hz @50Hz 56Hz~64Hz g60Hz；主机内置输出隔离变压器；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(7)输出部分要求：  电压  380/400/415VAC 三相四线；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(8)输出频率： 50/60 Hz±1%；  峰值因数( Ipeak/Irms)： 3：l；</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(9)总谐波含量(THD v)：100%线性负载&lt;2%；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(10)总谐波含量(THD v)：100%非线性负载&lt;5%；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(11)过载能力：≤110%60min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(12)逆变器效率： (负载100%)为90%；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(13)旁路部分额定电压[V]：380/400/415VAC三相四线；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(14)输入电压范围：176V~ 264V (Ph-N) / 304V ~456V (Ph-Ph)；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(15)频率范围： 46Hz~54Hz  @50Hz；56HZ~64Hz @60Hz；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(16)逆变器/旁路转换时间：同步切换： 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(17)过载能力：150%~180% 1h~30s；180%~ &gt;200% 30s~200ms；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(18)标准配冒馈流保护：旁路可独立分离：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(19)电池电压： 348VDC；</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(20)显示及通讯，中英文可选择的人机界面触摸屏设 计、可显示运行状态流程图、UPS运 行数据资料、历史事仆记录以及多层次的故障代码显示，标配RS232,选配RS485 / MOD BUS；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(21)▲并机支持：支持4台UPS直接并机，无需额外选配并机电路组件。UPS并机时，并机系统中的UPS可共享同一组电池。（提供第三方相关证明材料）；UPS通过电池接地故障检测电路，具有电池漏液侦测功能。可及时发现电池漏液情况，防止因此导致的电池起火等故障，当电池组发生漏液时，应能及时发出声光告警。（提供第三方相关证明材料）</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(22)▲UPS监控系统：必须支持手机APP(同时支持Android和iOS版本)远程实时了解UPS运行数据参数监测，包括输入电压、输出电压、频率、设备温度、电池电压、市电状态、内部故障、后备电池状态等。支持市电中断、设备故障、温度异常、电池异常等异常状态检测。可对UPS电池电压设置分段预警，在电池达到额定低电压之前，可发出预警通知，至少可分为高、中、低三个等级的预警通知。支持扩展电池监测，单节电池电压、温度、内阻检测，支持电池组充放电电流检测，支持电池电压、温度、内阻告警通知。（提供截图等相关认明材料）</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蓄电池</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(1)胶体蓄电池设 计寿命≧10年，单节蓄电池12V100AH,采用高强ABS塑料电池槽、盖，结构紧凑，具有耐冲击，抗震动性能好，多层密封技术和特殊的密封胶，确保电池无泄漏，无酸雾逸出，安全可靠。蓄电池容量(100A·h以下)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(2)断电延迟≥120分钟，100AH/12V</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个/组件</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备用电源及电池主机(柜)</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(1)电池柜含电池空开</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套/部</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监控设备</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(1)嵌入式监控主机主处理器：工业级嵌入式处理器；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(2)操作系统：嵌入式LINUX操作系统；</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(3)输入：≥4路RS232/RS485复用接口，≥8路带隔离开关量输入，≥8路DC 0-5V模拟量输入或8路4-20mA模拟量输入(需并接250Ω电阻)；</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(4)输出：≥4路继电器输出，若干路DC12V、GND电源输出；</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(5)短信报警：内置(可选)；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(6)通讯接口：≥1个RJ45  l0M/100M自适应以太网口、GPRS(可选)、3G(可选)；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(7)数据存储：≥1×SD卡储；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(8)结构： 嵌入式内置WEB；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(9)电源： AC220V±10% 50Hz±2%；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(10)19寸标准扎架安装。</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报警电话</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(1)电话报警软件：不占用主机中断资源；</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(2)符合USB1.1协议,即插即用自动识别，可带电插拨；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(3)采用高性能DSP，实现信号音准确检测；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(4)支持FSK、DTMF两种送主叫号码制式；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(5)接收或发送DTMF码；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(6)收发FSK数据；</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(7)检测录放过程中的极性反转信号；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(8)采用PCM或ADPCM编码方式对语音进行数字化录、放音</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模块（模块箱）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(1)短信报警模块：双频GSM调制解调器(EGSM900/1800MHz或EGSM900/ l900MHz)；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(2)符合ETSIGSMPhase2+标准；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(3)输入电压： 5V一32V；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(4)输入电流： 5mA待机状态,140mA在GSM900MHz@12V连通状态5mA待机状态，100mA在GSM1800/1900MHz@12V连通状态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 RS一232串连口及通过小型Sub-D15插头连接器的音频介面支持用；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(6)AT命令作遥控(GSM07.07及07.05)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(7)串连比突率由300至115, 200bits/s；</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(8)自动比突率( 300至38, 400bits/s)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 SMA 天线接口；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(10)远程巡检支持；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(11)滑入式SIM卡储存器。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服务器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(1)管理电脑： ≥CPU i5；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(2)内存：≥ 4G(DDR4 1600MHz)；</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(3)显卡： ≥独立lG显卡；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(4)硬盘： ≥500G(SATA/7200转)；</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(5)千兆网口：≥1个</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(6)光驱： DVD；</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(7)显示器：≥ 19寸；</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(8)USB键盘鼠标套件。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应用软件接口</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(1)配电检测软件接口：提供配电检测软件接口，实时检测机房内各重要供电参数，如三相电压、电流、功率等；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根据智能电量仪的智能通讯口RS485以及厂商提供的通讯协议，系统可监测配电柜进线配电运行参数，如线电压、相电压、相电流、频率、功率因素、总有功功率、总无功功率、总视在功率，相有功功率、相无功功率、相视在功率、零地电压等能数。</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控制器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(1)漏水控制器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数据采集及巡回检测报警装置</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(1)蓄电池巡检主机检测蓄电池类型： 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(2)检测电池数量，每台最大可支持48节监测；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(3)电压检测精度： ±0.5%；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(4)电压测量范围： 0~15(V)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(5)内阻检测精度： ±5%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(6)内阻测量范围：1 ～ 99.99(mΩ)；</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(7)电流测量精度： ±1%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(8)电流测册范围： 根据霍尔互感器量程</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(9)数据存储：≥3天历史数据存储，≥10000条报警信息：</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(10)显示：主机采用≥4.3寸带触摸TFT屏；</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(11)通信接口： RS485接口；</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(12)工作电压： 200±20%；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(13)功耗： ≤20W；</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(14)工作温度： 0℃~60℃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(15)相对湿度：  5%～95%；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(16)尺寸：2U</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套</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模块（模块箱）</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(1)蓄电池检测模块</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(2)每台可检测32节、12V蓄电池电压</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点型探测器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(1)温湿度探测器</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双绞线缆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(1)双绞线缆 4对CAT5e UTP</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m</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传感器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(1)信号采集器测湿范围： 0～100 %RH；精度：±4.5%RH(10～90%RH)；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(2)测温范围： - 10～60℃；  精度： ±0.5℃(-10℃～85℃)；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(3)输出形式： RS485；</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(4)工作电源： 12V DC；</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支/台</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点型探测器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(1)感烟探测器工作电压：DC 12V；</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(2)静态电流：  ≤8mA；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(3)报警电流；  ≤35mA；</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(4)工作温度：  -10℃--50℃；</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(5)环境湿度：  ≤95%RH；</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(6)输出形式：  开关量输出。</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个</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机房通风空调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空调器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(1)机房专用柜式空调5P；</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(2)空调部件及设备支架制作安装；</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(3)匹数： 5P柜机；</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(4)电源： 380V；</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(5)电源频率： 50HZ：</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(6)制冷(KW)： 制冷量≥12. 5；</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(7)制热(KW)： 制热量≥13. 2；</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(8)COP值： 制冷，制热；</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(9)液管/气管： Φ9. 5/Φ15.9(扩口)；</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(10)排水管： Φ20.1.D.，Φ260.O.D；</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(11)控制方式： 遥控；</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(12)室内机噪音： 36-49dB；</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(13)是否静音：  是；</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(14)提供的智能通讯接口及通讯协议；</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(15)停电再启动机能： 遇到停电的场合，无论多久，一旦电力恢复，空调机即以停电前模式自动恢复运转；</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(16)电压变动对应机能： +10%到-22%范压内正常运转，当电压抵于-22%时，空调自动保护停机, 当电压恢复到-22%以上时,  自动恢复运转；</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(17)室外机耐腐蚀处理： 耐腐蚀处理热交换翅片，抵御酸雨、盐份的侵蚀，延长机器寿命；</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(18)长配管设 计： 冷煤配管长度最大可达50m，最大高低差可达30m；</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(19)全年制冷： 室外温度即使降到-5℃，也可正常制冷运转；</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(20)长效过滤网： 采用长效过滤网设 计，只需每年清洗一次，大大减少了日常维护量。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台/组</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空调器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(1)机房专用柜式空调3P；</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(2)空调部件及设备支架制作安装；</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(3)匹数： 3P柜机；</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(4)室外机单相；</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(5)制冷容量kW： ≥7.11；</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(6)制热容量kW： ≥7.80；</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(7)提供的智能通讯接口及通讯协议；</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(8)停电再启动机能：遇到停电的场合，无论多久，一旦电力恢复，空调机即以停电前模式自动恢复运转；</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(9)电压变动对应机能： +10%到-22%范围内正常运转，当电压低于-22%时，空调自动保护停机，当电压恢复到-22%以上时，自动恢复运转；</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(10)室外机耐腐蚀处理；耐腐蚀处理热交换翅片,抵御酸雨、盐份的侵蚀，延长机器寿命；</w:t>
            </w:r>
          </w:p>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(11)长效过滤阀： 采用长效过滤网设 计，只需每年清洗一次，大大减少了日常维护量。</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台/组</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机房装饰工程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10120" w:type="dxa"/>
            <w:gridSpan w:val="6"/>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机房装饰工程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防静电活动地板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(1)防静电活动地板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(2)600mm×600mm×35mm，钢制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(3)导电抗震胶条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(4)地板上下托支脚、支架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(5)静电泄露物理焊接点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(6)5#角钢@1200焊接支架，防锈处理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173</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抹灰面油漆</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(1)地面防尘漆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174</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金属踢脚线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(l)不锈钢踢脚线</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(2)亚光，高100mm</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175</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钢丝网</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(1)地面钢网</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176</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金属装饰线</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(1)不锈钢压条收边</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177</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吊顶天棚</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(1)铝合金天棚吊顶(包含龙骨吊杆)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 600mm×600mm铝合金微孔吊顶</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(3)DU38型轻钢龙骨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(4)梁下200mm安装</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(5)不锈钢角线收边高</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178</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天棚喷刷涂料</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(1)吊顶防尘漆</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(2)防尘防潮涂料处理</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179</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钢质防火门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 1200mm×2200mm双开钢制防火门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(2)闭门器等其他五金</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樘</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180</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金属（塑钢）门</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 900mm×2200mm双开钢制防火门</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(2)闭门器等其他五金</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樘</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181</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玻璃隔断</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(1)12mm防火玻璃隔断</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(2)80*40*2mm、80*80*2mm厚方钢管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(3)30*20*2mm厚方钢管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(4)1mm法纹不锈钢包边</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(5)打玻璃胶</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0" w:hRule="atLeast"/>
          <w:jc w:val="center"/>
        </w:trPr>
        <w:tc>
          <w:tcPr>
            <w:tcW w:w="57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182</w:t>
            </w:r>
          </w:p>
        </w:tc>
        <w:tc>
          <w:tcPr>
            <w:tcW w:w="752" w:type="dxa"/>
            <w:gridSpan w:val="2"/>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墙面喷刷涂料</w:t>
            </w:r>
          </w:p>
        </w:tc>
        <w:tc>
          <w:tcPr>
            <w:tcW w:w="723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(1)亚光水泥漆面层一底二面</w:t>
            </w:r>
          </w:p>
        </w:tc>
        <w:tc>
          <w:tcPr>
            <w:tcW w:w="452" w:type="dxa"/>
            <w:shd w:val="clear" w:color="auto" w:fill="FFFFFF"/>
            <w:vAlign w:val="center"/>
          </w:tcPr>
          <w:p>
            <w:pPr>
              <w:pStyle w:val="4"/>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112" w:type="dxa"/>
            <w:shd w:val="clear" w:color="auto" w:fill="FFFFFF"/>
            <w:vAlign w:val="center"/>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5" w:hRule="atLeast"/>
          <w:jc w:val="center"/>
        </w:trPr>
        <w:tc>
          <w:tcPr>
            <w:tcW w:w="10120" w:type="dxa"/>
            <w:gridSpan w:val="6"/>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系统平台软件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95" w:hRule="atLeast"/>
          <w:jc w:val="center"/>
        </w:trPr>
        <w:tc>
          <w:tcPr>
            <w:tcW w:w="572" w:type="dxa"/>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183</w:t>
            </w:r>
          </w:p>
        </w:tc>
        <w:tc>
          <w:tcPr>
            <w:tcW w:w="734" w:type="dxa"/>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互联网线路</w:t>
            </w:r>
          </w:p>
        </w:tc>
        <w:tc>
          <w:tcPr>
            <w:tcW w:w="7250" w:type="dxa"/>
            <w:gridSpan w:val="2"/>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(1)动态带宽≥20M*1</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(2)固定IP带宽≥100M*1</w:t>
            </w:r>
          </w:p>
        </w:tc>
        <w:tc>
          <w:tcPr>
            <w:tcW w:w="452"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月</w:t>
            </w:r>
          </w:p>
        </w:tc>
        <w:tc>
          <w:tcPr>
            <w:tcW w:w="1112"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15" w:hRule="atLeast"/>
          <w:jc w:val="center"/>
        </w:trPr>
        <w:tc>
          <w:tcPr>
            <w:tcW w:w="572" w:type="dxa"/>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textAlignment w:val="center"/>
              <w:rPr>
                <w:color w:val="auto"/>
              </w:rPr>
            </w:pPr>
            <w:r>
              <w:rPr>
                <w:rFonts w:hint="eastAsia" w:ascii="宋体" w:hAnsi="宋体" w:eastAsia="宋体" w:cs="宋体"/>
                <w:color w:val="auto"/>
                <w:sz w:val="24"/>
                <w:szCs w:val="24"/>
              </w:rPr>
              <w:t>184</w:t>
            </w:r>
          </w:p>
        </w:tc>
        <w:tc>
          <w:tcPr>
            <w:tcW w:w="734"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系统平台软件</w:t>
            </w:r>
          </w:p>
        </w:tc>
        <w:tc>
          <w:tcPr>
            <w:tcW w:w="7250" w:type="dxa"/>
            <w:gridSpan w:val="2"/>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 提供一个树型结构方便对福州左海至金牛山步道组织的维护，主要是维护各个组织之间的关系（包括上下级关系，协助关系等），以及进行组织的增加、删除和修改等工作。</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 系统管理员可创建、修改、删除操作员账户，并且给操作员账户分配权限。</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 系统管理员可创建、修改、删除角色信息。角色信息包含角色名 称、角色描述、分配的权限、分配该角色的人员。</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 系统管理员可创建、修改、删除菜单信息。菜单信息包含菜单色名 称、菜单图标、菜单描述、菜单链接地址。</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(5) 系统管理员可创建、修改、删除权限信息。权限信息包括权限名 称、菜单地址、上级菜单。</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(6) 平台管理员可以根据需要记录的信息项将用户的操作都以日志的形式记录下来，可以查看到操作的用户名、操作时间，以及详细的操作内容</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(7) 统一的应用系统接入管理模块能够综合提供不同的授权与系统访问级别元素，用户在页面上通过各种元素的组合即可对符合规范的应用系统的进行快速接入管理。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(8) 统一登陆认证是平台建设的基础，主要应该实现统一用户认证、统一应用入口等功能。户对集成后的应用系统进行访问时，都是通过统一认证平台进行的。</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(9) 对接入平台的各种设备信息进行统一管理，包含GPS位置等信息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(10) 提供系统级的数据查询，能够在支撑核心平台中通过条件组合提供主要的数据查询，如用户资料、应用信息等。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(11) 提供不同维度的各种数据统计报表和管理报表，能够高效、实时地监控各项数据的实际执行情况，提供高效、实时的决策支持。</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(12) 将视频监控、紧急广播、无线WIFI、信息发布等几个子系统分系统的数据信息，实现数据共享、互通、联动。为管理者提供数据决策依据。</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(13) 可以实现数据交换平台和各信息系统的有机结合，以统一的接口规范实现数据自动提取、数据转换、数据发送、数据校验、数据审核等功能。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(14) 各种设备、植物信息、基础设施等信息汇总分析展示，以各种丰富图表形式展示步道无线wifi、视频等设备的实时状态数据以及设备故障告警信息，同时可以展示推荐游览线路、行人引导信息以及其他公共设施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(15) 平台实时监测每个设备的各种报警信息和状态，提供统一的报警界面，实时显示每个子系统的报警信息。系统可针对不同子系统的报警点设置不同的报警级别，以不同的方式进行展示。并可对告警信息进行接警处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(16) 金牛山公园电子地图包括基础电子地图数据和旅游专题电子地图数据，基础电子地图数据是包含多种数据源所共同组成上层系统的各应用（功能、服务）开发提供基础地图支撑，基础地图数据主要来自城市二维电子地图，公共导航图（城市导航数据、景区内部导航数据，旅游专题地图数据是由金牛山特有的专题数据组成，为金牛山公园专项应用（功能、服务）开发提供地图数据支撑，旅游专题数据包括景点分布图、游览路线、餐饮、娱乐、休息区、景区、景点高清图片、行人导航网络（包括步行通道、台阶、山坡路、甬道等） 、行人引导信息（包括指示牌、警告牌、公告板等） 、兴趣点坐标及其深度信息（服务类别、服务价格、服务状况、优惠信息、电话、图片、语音等详细信息）"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(17) 用于管理重点推荐景点、热门景点、所有景点信息，景点信息管理包含景点介绍、与景点相关视频、画册等。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(18) 用于对景点的植物进行管理，用户可以为通过植物信息管理查看专业的植物信息、植物图片、植物学名、植物科名、植物属名、植物习性等等。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(19) 用于管理景点内部各条游玩线路，包含景点的名 称，游玩线路的站点信息，添加完成后用户可以通过微信查看相关游玩线路，并选择兴趣的线路进行游玩。</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(20) 可以在管理系统对智慧公园的游玩轨迹点进行增、删、改管理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(21) 可以在管理系统对智慧公园的主题活动信息进行增、删、改管理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(22) 可以在管理系统对智慧公园的滚动信息进行增、删、改管理。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(23) 用于管理平台展示的通知公告信息。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(24) 用于管理自助导览数据。</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(25) 注册用户管理、评论管理、投诉与建议管理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(26) 微信公众号利用金步道电子地图数据位置，为游客提供导航。</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(27) 微信公众号含景点信息（扫描、查询）及评论分享、植物信息（扫描、查询）及评论分享、人文典故数据显示、查看及评论分享、其他相关联信息显示、查看及评论分享。</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(28) 微信公众号展现后台发布的游玩攻略、对游玩攻略评论及分享。</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(29) 微信公众号显示后台发布的主题活动、对主题活动评论及分享。</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(30) 微信公众号主要介绍步道文化特色展示和介绍</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(31) 微信公众号显示个人相关的信息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(32) 导览终端模块利用步道电子地图数据位置，为游客提供导航。</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(33) 导览终端模块提供景点信息、植物信息、人文典故数据显示。</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(34) 导览终端模块展示推进线路信息，当用户不知道从哪里开始游玩景区时，可以通过推进线路来选择。</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(35) 导览终端模块展示管理后台发布的通知公告信息。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(36) 导览终端模块显示后台发布的主题活动、对主题活动评论及分享。</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(37) 导览终端模块介绍金牛山文化特色展示和介绍</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(38) 导览终端模块展示最新的景点动态信息。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(39) 导览终端模块展示最新的气象信息。</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(40) 集成无线wifi系统，使得用户可以通过短信接入、微信接入、固定账号接入、免认证接入等方式连接无线网络，此外还能实现用户识别，上网行为分析、室内导航、客流热点分析等功能。平台可以展示每个无线AP的状态和接入的设备数</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(41) 集成视频监控系统，实现对景区现场图像进行实时录像，为可能发生的犯罪活动留下可靠证据。</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(42) 集成公共广播系统，实现将广播或背景音乐传送至工程内的各个选定之广播区域。</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(43) 集成森林防火监测系统，实现对数公里范围内的森林资源进行监测，不仅可以实时监看和记录森林资源的情况，同时由于采用了智能化的监测机制，可以通过智能化设备自动完成对森林的火灾监测和预警，辅助森林防火监测人员完成对森林资源的自动监测。</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(44) 集成一键报警系统，可以实现一键求助，平台上可以监测到报警人员的所在位置，并可以进行语音对讲。</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(45) 集成LED显示屏系统，可用于展示已发布的信息、政府公告等。</w:t>
            </w:r>
          </w:p>
        </w:tc>
        <w:tc>
          <w:tcPr>
            <w:tcW w:w="452"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套</w:t>
            </w:r>
          </w:p>
        </w:tc>
        <w:tc>
          <w:tcPr>
            <w:tcW w:w="1112"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4"/>
                <w:szCs w:val="24"/>
              </w:rPr>
              <w:t>1</w:t>
            </w:r>
          </w:p>
        </w:tc>
      </w:tr>
    </w:tbl>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4"/>
          <w:szCs w:val="24"/>
        </w:rPr>
        <w:t>（二）技术服务要求</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1.新建或装修的机房需满足现场需求及设备机房相关规范。</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2.步道原来安装的部分探头等设备必须重复利用，对接到系统中。</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3.施工过程不允许使用大型机械设备，对局部破坏的植被要进行恢复。</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4.因该项目位于山上，施工过程存在不确定性，竣工验收时按实际使用设备情况进行结算。</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三、商务条件</w:t>
      </w:r>
      <w:r>
        <w:rPr>
          <w:rStyle w:val="6"/>
          <w:rFonts w:hint="eastAsia" w:ascii="宋体" w:hAnsi="宋体" w:eastAsia="宋体" w:cs="宋体"/>
          <w:b/>
          <w:color w:val="auto"/>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b/>
          <w:color w:val="auto"/>
          <w:spacing w:val="0"/>
          <w:sz w:val="24"/>
          <w:szCs w:val="24"/>
        </w:rPr>
        <w:t>包：1</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1、交付地点：福建省福州市鼓楼区福道 </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2、交付时间：合同签订后120天内完工。</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3、交付条件：通过最终验收</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4、是否收取履约保证金：否</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5、是否邀请投标人参与验收：否</w:t>
      </w:r>
      <w:r>
        <w:rPr>
          <w:rStyle w:val="6"/>
          <w:rFonts w:hint="eastAsia" w:ascii="宋体" w:hAnsi="宋体" w:eastAsia="宋体" w:cs="宋体"/>
          <w:b/>
          <w:color w:val="auto"/>
          <w:spacing w:val="0"/>
          <w:sz w:val="24"/>
          <w:szCs w:val="24"/>
        </w:rPr>
        <w:br w:type="textWrapping"/>
      </w:r>
      <w:r>
        <w:rPr>
          <w:rStyle w:val="6"/>
          <w:rFonts w:hint="eastAsia" w:ascii="宋体" w:hAnsi="宋体" w:eastAsia="宋体" w:cs="宋体"/>
          <w:b/>
          <w:color w:val="auto"/>
          <w:spacing w:val="0"/>
          <w:sz w:val="24"/>
          <w:szCs w:val="24"/>
        </w:rPr>
        <w:t>6、验收方式数据表格</w:t>
      </w:r>
    </w:p>
    <w:tbl>
      <w:tblPr>
        <w:tblStyle w:val="7"/>
        <w:tblW w:w="830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1"/>
        <w:gridCol w:w="66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66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664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具体按招标文件以及采购合同约定执行</w:t>
            </w:r>
          </w:p>
        </w:tc>
      </w:tr>
    </w:tbl>
    <w:p>
      <w:pPr>
        <w:keepNext w:val="0"/>
        <w:keepLines w:val="0"/>
        <w:widowControl/>
        <w:suppressLineNumbers w:val="0"/>
        <w:jc w:val="left"/>
        <w:rPr>
          <w:color w:val="auto"/>
        </w:rPr>
      </w:pPr>
      <w:r>
        <w:rPr>
          <w:rStyle w:val="6"/>
          <w:rFonts w:ascii="宋体" w:hAnsi="宋体" w:eastAsia="宋体" w:cs="宋体"/>
          <w:b/>
          <w:color w:val="auto"/>
          <w:kern w:val="0"/>
          <w:sz w:val="24"/>
          <w:szCs w:val="24"/>
          <w:lang w:val="en-US" w:eastAsia="zh-CN" w:bidi="ar"/>
        </w:rPr>
        <w:t>7、支付方式数据表格</w:t>
      </w:r>
    </w:p>
    <w:tbl>
      <w:tblPr>
        <w:tblStyle w:val="7"/>
        <w:tblW w:w="830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1"/>
        <w:gridCol w:w="1661"/>
        <w:gridCol w:w="498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49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30</w:t>
            </w:r>
          </w:p>
        </w:tc>
        <w:tc>
          <w:tcPr>
            <w:tcW w:w="49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签订中标合同之日起，七个工作日内支付合同金额30%的预付款。中标方须提供相应额度的预付款保函。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65</w:t>
            </w:r>
          </w:p>
        </w:tc>
        <w:tc>
          <w:tcPr>
            <w:tcW w:w="49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中标人按照招标文件要求提供合格设备并安装调试，经采购人验收合格后七个工作日内，中标人提供正式发票及验收证明，采购人支付合同金额的65%。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16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w:t>
            </w:r>
          </w:p>
        </w:tc>
        <w:tc>
          <w:tcPr>
            <w:tcW w:w="49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余款待质保期过后无质量问题七个工作日内中标人提供正式发票，采购人无息付清余款5%。</w:t>
            </w:r>
          </w:p>
        </w:tc>
      </w:tr>
    </w:tbl>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8、货物包装方式</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8.1包装：货物交货时应按国家有关标准要求进行包装。</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8.2方式：包装必须与运输方式相适应，包装方式的确定及包装费用均由中标人负责；由于不适当的包装而造成货物在运输过程中有任何损坏由中标人负责。</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注：包装应足以承受整个过程中的运输、转运、装卸、储存等，充分考虑到运输途中的各种情况(如暴露于恶劣气候等)和项目所在地的气候特点，以及露天存放的需要。</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9、安装、调试</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9.1中标人应在签订合同时，向采购人提供安装、调试的进度计划表。</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9.3中标人负责组织专业技术人员进行设备调试，并向采购人安排的工作人员介绍设备功能。</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9.4设备安装、调试的完工期须按照合同的规定执行。</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10、检验标准和方法</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10.2出厂检验：中标人负责所提供货物的出厂检验，应按货物技术标准规定的检验项目和检验方法进行全面检验，保证货物原厂地和技术指标的真实性、完整性，并负责将货物送达采购人指 定的供货地点。</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10.3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10.4试运行：设备安装完成后，中标人应对货物的整体性能和功能进行自检，自检结果必须符合谈判文件要求及合同中的相关条款，自检合格后，转入为期1个月的试运行。试运行结束后，中标人应向采购人提交自检记录和试运行记录，并提出验收申请。经采购人同意后，采购人和中标人共同进行设备的验收。</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10.5最终验收</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采购人将按照政府采购合同规定的技术、服务、安全标准组织对供应 商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注：</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(1)根据《福建省省 级政府采购货物和服务项目招标文件编制和实施指引》对申请参加验收及要求的规定：</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①与项目投标的供应 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应 商项目验收的时间、地点及联系人等事项。与中标人投标产品同品 牌同一型号的投标人不再参与验收。</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②申请参加验收的供应 商在验收现场发现中标人以次充好、降低供货标准、变更中标货物等情况的，应当当场提出质疑，并书面向监管部门反映。验收标准应严格按照谈判文件要求及投标响应情况进行，投标人在投标文件中已对投标产品的细微偏差作出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(2)采购人可以邀请参加本项目的其他投标人或者第三方机构参与验收。参与验收的投标人或者第三方机构的意见作为验收书的参 考资料一并存档。</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11、技术培训及技术资料要求</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11.1技术培训：中标人应结合货物安装、调试等阶段，派原厂工程师持证上门安装(需提供资质 证书)，同步地免费对采购人的技术人员就有关系统安装、维护、操作使用等方面进行现场技术培训，使受训人员能熟练掌握所有的安装测试和维护方法以及操作命令的使用。</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11.2技术资料：中标人应向采购人提供不少于以下列明的中文(或英文)技术资料，在设备供货时同时提供；并提供货物相关的证明文件或资料，其费用应包括在报价内。中标 后应提供的技术资料如下：</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1)出厂明细表(装箱单)；</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2)出厂检验报告、合格证书；</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3)安装手册；操作手册(中文)；维修手册；</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4)使用说明书；</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5)设备安装、调试、维修线路原理图等安装调试资料；</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6)提供原产 地制造商的产品证明；</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7)合同中要求的其它文件资料。</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12、质保期和售 后 服 务要求</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12.1中标人须按采购文件的要求提供合格的产品，中标人须提供所投货物自验收合格之日起36个月的免费保修期（软件及硬件）。保修期内，须按合同条款提供免费服务，非因操作不当造成要更换的零配件由中标人负责包修、包换。  </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12.2中标人在免费保修期内须提供免费上门维修服务，设备运行发生故障时中标人在接到采购人故障通知后2小时内响应，并在24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24个月内出现设备质量问题(同一故障发生二次)，采购人则有权要求免费更换整机，更换的质量保证期从更换之日起相应顺延。</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12.3免费保修期满前1个月内中标人应负责对设备进行一次免费全面检查，如发现潜在问题，应负责排除，保证设备正常运行。</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12.4免费保修期结束后，中标人应在设备使用地区指 定有维修能力的代 理机构对设备在必要时进行定期维护和修理，可合理收取维修成本费，更换配件时只能收配件成本费，各配件的折扣价格应在投标文件中注明。</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12.5各投标人可视自身能力在投标文件中提供更优、更合理的质保期和售后 服务承诺。</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12.6投标人在投标文件中必须对质保期和售 后 服 务作出承诺，包括但不限于采购文件第三部分12.1-12.4的内容。未承诺售后 服务或者质保期不满足招标文件要求的按照无效投标处理。</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13、专用工具、特殊工具与配品配件</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13.1专用工具：中标人应向采购人提供一套维修所需的专用工具及清单(清单附在投标文件中)。</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13.2特殊工具：中标人应向采购人提供系统安装和维修所需的特殊专用工具及清单(如果有的话)并在投标文件中提供，其费用包括在投标总价中。</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13.3备品备件：中标人应提供设备在质量保证期内所需的备品备件(如果有的话)，其费用含在投标总价中。</w:t>
      </w:r>
    </w:p>
    <w:p>
      <w:pPr>
        <w:pStyle w:val="4"/>
        <w:keepNext w:val="0"/>
        <w:keepLines w:val="0"/>
        <w:widowControl/>
        <w:suppressLineNumbers w:val="0"/>
        <w:spacing w:before="0" w:beforeAutospacing="0" w:after="150" w:afterAutospacing="0" w:line="495" w:lineRule="atLeast"/>
        <w:ind w:left="0" w:right="0"/>
        <w:rPr>
          <w:color w:val="auto"/>
        </w:rPr>
      </w:pPr>
      <w:r>
        <w:rPr>
          <w:rStyle w:val="6"/>
          <w:rFonts w:hint="eastAsia" w:ascii="宋体" w:hAnsi="宋体" w:eastAsia="宋体" w:cs="宋体"/>
          <w:b/>
          <w:color w:val="auto"/>
          <w:sz w:val="27"/>
          <w:szCs w:val="27"/>
        </w:rPr>
        <w:t>14</w:t>
      </w:r>
      <w:r>
        <w:rPr>
          <w:rFonts w:hint="eastAsia" w:ascii="宋体" w:hAnsi="宋体" w:eastAsia="宋体" w:cs="宋体"/>
          <w:color w:val="auto"/>
          <w:sz w:val="24"/>
          <w:szCs w:val="24"/>
        </w:rPr>
        <w:t>、违约责任</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14.1因中标人原因造成采购合同无法按时签订，视为中标人违约，中标人违约对采购人造成的损失的，需另行支付相应的赔偿。</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14.2在签定采购合同之后，中标人要求解除合同的，视为中标人违约，对采购人造成的损失的，中标人需支付相应的赔偿。</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14.3因中标人原因发生重大质量事故，除依约承担赔偿责任外，还将按有关质量管理办法规定执行。同时，采购人有权保留更换中标人的权利，并报相关行政主管部门处罚。</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14.5在明确违约责任后，中标人应在接到书面通知书起七天内支付违约金、赔偿金等。</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15、知识产权</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投标人须在投标文件中明确承诺，保障采购人在使用该货物或其任何一部分时不受到第三方关于侵犯专 利权、商 标权或工业设 计权等知识产权的指控，未出具该项承诺视为无效投标。任何第三方如果提出侵权指控与采购人无关，投标人须与第三方交涉并承担可能发生的责任与一切费用。如采购人因此而遭致损失的，投标人应赔偿该损失。</w:t>
      </w:r>
    </w:p>
    <w:p>
      <w:pPr>
        <w:pStyle w:val="4"/>
        <w:keepNext w:val="0"/>
        <w:keepLines w:val="0"/>
        <w:widowControl/>
        <w:suppressLineNumbers w:val="0"/>
        <w:spacing w:before="0" w:beforeAutospacing="0" w:after="150" w:afterAutospacing="0" w:line="495" w:lineRule="atLeast"/>
        <w:ind w:left="0" w:right="0"/>
        <w:rPr>
          <w:color w:val="auto"/>
        </w:rPr>
      </w:pPr>
      <w:r>
        <w:rPr>
          <w:rFonts w:hint="eastAsia" w:ascii="宋体" w:hAnsi="宋体" w:eastAsia="宋体" w:cs="宋体"/>
          <w:color w:val="auto"/>
          <w:sz w:val="24"/>
          <w:szCs w:val="24"/>
        </w:rPr>
        <w:t>16、仲裁、诉讼条款</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因采购或与采购合同有关的一切事项发生争议，由采购人和中标人双方友好协商解决。协商不成的，任何一方均可选择以下方式解决：</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(1)向</w:t>
      </w:r>
      <w:r>
        <w:rPr>
          <w:rFonts w:hint="eastAsia" w:ascii="宋体" w:hAnsi="宋体" w:eastAsia="宋体" w:cs="宋体"/>
          <w:color w:val="auto"/>
          <w:sz w:val="24"/>
          <w:szCs w:val="24"/>
          <w:u w:val="single"/>
        </w:rPr>
        <w:t> (采购人所在地)</w:t>
      </w:r>
      <w:r>
        <w:rPr>
          <w:rFonts w:hint="eastAsia" w:ascii="宋体" w:hAnsi="宋体" w:eastAsia="宋体" w:cs="宋体"/>
          <w:color w:val="auto"/>
          <w:sz w:val="24"/>
          <w:szCs w:val="24"/>
        </w:rPr>
        <w:t>仲裁委员会申请仲裁；</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(2)向有管辖权的人民法院提起诉讼。</w:t>
      </w:r>
    </w:p>
    <w:p>
      <w:pPr>
        <w:keepNext w:val="0"/>
        <w:keepLines w:val="0"/>
        <w:widowControl/>
        <w:suppressLineNumbers w:val="0"/>
        <w:jc w:val="left"/>
        <w:rPr>
          <w:color w:val="auto"/>
        </w:rPr>
      </w:pPr>
      <w:r>
        <w:rPr>
          <w:rFonts w:hint="eastAsia" w:ascii="宋体" w:hAnsi="宋体" w:eastAsia="宋体" w:cs="宋体"/>
          <w:color w:val="auto"/>
          <w:spacing w:val="0"/>
          <w:sz w:val="24"/>
          <w:szCs w:val="24"/>
        </w:rPr>
        <w:t>四、其他事项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rPr>
          <w:color w:val="auto"/>
        </w:rPr>
      </w:pPr>
      <w:r>
        <w:rPr>
          <w:color w:val="auto"/>
          <w:spacing w:val="0"/>
          <w:sz w:val="24"/>
          <w:szCs w:val="24"/>
        </w:rPr>
        <w:t>2、其他：</w:t>
      </w:r>
    </w:p>
    <w:p>
      <w:pPr>
        <w:pStyle w:val="4"/>
        <w:keepNext w:val="0"/>
        <w:keepLines w:val="0"/>
        <w:widowControl/>
        <w:suppressLineNumbers w:val="0"/>
        <w:spacing w:before="0" w:beforeAutospacing="0" w:after="150" w:afterAutospacing="0" w:line="495" w:lineRule="atLeast"/>
        <w:ind w:left="0" w:right="0" w:firstLine="480"/>
        <w:rPr>
          <w:color w:val="auto"/>
        </w:rPr>
      </w:pPr>
      <w:r>
        <w:rPr>
          <w:rStyle w:val="6"/>
          <w:rFonts w:hint="eastAsia" w:ascii="宋体" w:hAnsi="宋体" w:eastAsia="宋体" w:cs="宋体"/>
          <w:b/>
          <w:color w:val="auto"/>
          <w:sz w:val="24"/>
          <w:szCs w:val="24"/>
        </w:rPr>
        <w:t>★2.1投标文件报价部分要求：</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2.1.1投标人按合同包投标，对同一合同包内所有序号内容投标时必须完整，评标与授标以合同包为单位。投标报价不得超出招标文件规定合同包的最高限价。投标报价应包含投标货物所涉及的所有费用，包括货物制造、包装、运输、装卸、税金、保险、安装、搬运、调试、验收、培训、检验、保修、采购代 理服 务费等一切相关费用。</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2.1.2投标人应对本章第二大点技术和服务要求中(一）技术要求和服务要求中的采购清单内各序号产品进行分项报价。(注意：报价信息不得在技术商务部分体现)。</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2.1.3除非有特殊需要，招标文件不单独提供本项目使用地的自然环境、气候条件、公有设施、配套设施等情况，投标人若对以上情况要求了解，可以自行到使用地勘查，费用自理，否则将被视为熟悉上述与履行合同有关的一切情况。投标人在现场勘察所发生的一切费用及事故由投标人自行承担，采购人不承担任何责任。</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2.2、中标人安装结束后应在规定的交付使用时间之前将废物移离现场，清理妥当，费用由中标人负责。</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2.3、本项目不允许中标人以任何名义和理由在中标 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4"/>
        <w:keepNext w:val="0"/>
        <w:keepLines w:val="0"/>
        <w:widowControl/>
        <w:suppressLineNumbers w:val="0"/>
        <w:spacing w:before="0" w:beforeAutospacing="0" w:after="150" w:afterAutospacing="0" w:line="495" w:lineRule="atLeast"/>
        <w:ind w:left="0" w:right="0" w:firstLine="480"/>
        <w:rPr>
          <w:color w:val="auto"/>
        </w:rPr>
      </w:pPr>
      <w:r>
        <w:rPr>
          <w:rFonts w:hint="eastAsia" w:ascii="宋体" w:hAnsi="宋体" w:eastAsia="宋体" w:cs="宋体"/>
          <w:color w:val="auto"/>
          <w:sz w:val="24"/>
          <w:szCs w:val="24"/>
        </w:rPr>
        <w:t>2.4、本招标文件未明确的其它约定事项或条款，待采购人与中标人签订合同时，由双方协商订立。</w:t>
      </w:r>
    </w:p>
    <w:p>
      <w:pPr>
        <w:pStyle w:val="4"/>
        <w:keepNext w:val="0"/>
        <w:keepLines w:val="0"/>
        <w:widowControl/>
        <w:suppressLineNumbers w:val="0"/>
        <w:spacing w:before="0" w:beforeAutospacing="0" w:after="150" w:afterAutospacing="0" w:line="495" w:lineRule="atLeast"/>
        <w:ind w:left="0" w:right="0" w:firstLine="480"/>
        <w:rPr>
          <w:rFonts w:hint="eastAsia" w:ascii="微软雅黑" w:hAnsi="微软雅黑" w:eastAsia="微软雅黑" w:cs="微软雅黑"/>
          <w:color w:val="auto"/>
          <w:sz w:val="27"/>
          <w:szCs w:val="27"/>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r>
        <w:rPr>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24"/>
          <w:szCs w:val="24"/>
        </w:rPr>
        <w:t>编制说明</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b/>
          <w:color w:val="auto"/>
          <w:spacing w:val="0"/>
          <w:sz w:val="24"/>
          <w:szCs w:val="24"/>
        </w:rPr>
        <w:t>1、签订合同应遵守政府采购法、合同法。</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b/>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rPr>
          <w:color w:val="auto"/>
        </w:rPr>
      </w:pPr>
      <w:r>
        <w:rPr>
          <w:rStyle w:val="6"/>
          <w:rFonts w:hint="eastAsia" w:ascii="宋体" w:hAnsi="宋体" w:eastAsia="宋体" w:cs="宋体"/>
          <w:b/>
          <w:color w:val="auto"/>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2、合同标的</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3、合同总金额</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8、履约保证金</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9、合同有效期</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11、知识产权</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12、解决争议的方法</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13、不可抗力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14、合同条款</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15、其他约定</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4"/>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4"/>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（以下无正文）</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                    乙方：</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住所：                    住所：</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联系方法：                  联系方法：</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开户银行：                  开户银行：</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账号：                    账号：</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4"/>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4"/>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spacing w:val="0"/>
          <w:sz w:val="24"/>
          <w:szCs w:val="24"/>
        </w:rPr>
      </w:pPr>
      <w:r>
        <w:rPr>
          <w:color w:val="auto"/>
          <w:spacing w:val="0"/>
          <w:sz w:val="24"/>
          <w:szCs w:val="24"/>
        </w:rPr>
        <w:t> </w:t>
      </w: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240" w:afterAutospacing="0"/>
        <w:ind w:left="0" w:right="0" w:firstLine="0"/>
        <w:rPr>
          <w:color w:val="auto"/>
          <w:spacing w:val="0"/>
          <w:sz w:val="24"/>
          <w:szCs w:val="24"/>
        </w:rPr>
      </w:pPr>
    </w:p>
    <w:p>
      <w:pPr>
        <w:pStyle w:val="4"/>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pStyle w:val="4"/>
        <w:keepNext w:val="0"/>
        <w:keepLines w:val="0"/>
        <w:widowControl/>
        <w:suppressLineNumbers w:val="0"/>
        <w:spacing w:before="75" w:beforeAutospacing="0" w:after="75" w:afterAutospacing="0"/>
        <w:ind w:left="0" w:right="0" w:firstLine="0"/>
        <w:jc w:val="center"/>
        <w:rPr>
          <w:color w:val="auto"/>
        </w:rPr>
      </w:pPr>
      <w:r>
        <w:rPr>
          <w:rStyle w:val="6"/>
          <w:rFonts w:hint="eastAsia" w:ascii="宋体" w:hAnsi="宋体" w:eastAsia="宋体" w:cs="宋体"/>
          <w:b/>
          <w:color w:val="auto"/>
          <w:spacing w:val="0"/>
          <w:sz w:val="31"/>
          <w:szCs w:val="31"/>
        </w:rPr>
        <w:t>第七章   投标文件格式</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4"/>
          <w:szCs w:val="24"/>
        </w:rPr>
        <w:t>编制说明</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1、除招标文件另有规定外，本章中：</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1.1涉及投标人的</w:t>
      </w:r>
      <w:r>
        <w:rPr>
          <w:rStyle w:val="6"/>
          <w:rFonts w:hint="eastAsia" w:ascii="宋体" w:hAnsi="宋体" w:eastAsia="宋体" w:cs="宋体"/>
          <w:b/>
          <w:color w:val="auto"/>
          <w:sz w:val="24"/>
          <w:szCs w:val="24"/>
        </w:rPr>
        <w:t>“全称”</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6"/>
          <w:rFonts w:hint="eastAsia" w:ascii="宋体" w:hAnsi="宋体" w:eastAsia="宋体" w:cs="宋体"/>
          <w:b/>
          <w:color w:val="auto"/>
          <w:sz w:val="24"/>
          <w:szCs w:val="24"/>
        </w:rPr>
        <w:t>投标人的全称</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6"/>
          <w:rFonts w:hint="eastAsia" w:ascii="宋体" w:hAnsi="宋体" w:eastAsia="宋体" w:cs="宋体"/>
          <w:b/>
          <w:color w:val="auto"/>
          <w:sz w:val="24"/>
          <w:szCs w:val="24"/>
        </w:rPr>
        <w:t>牵头方的全称</w:t>
      </w:r>
      <w:r>
        <w:rPr>
          <w:rFonts w:hint="eastAsia" w:ascii="宋体" w:hAnsi="宋体" w:eastAsia="宋体" w:cs="宋体"/>
          <w:color w:val="auto"/>
          <w:sz w:val="24"/>
          <w:szCs w:val="24"/>
        </w:rPr>
        <w:t>并加注</w:t>
      </w:r>
      <w:r>
        <w:rPr>
          <w:rStyle w:val="6"/>
          <w:rFonts w:hint="eastAsia" w:ascii="宋体" w:hAnsi="宋体" w:eastAsia="宋体" w:cs="宋体"/>
          <w:b/>
          <w:color w:val="auto"/>
          <w:sz w:val="24"/>
          <w:szCs w:val="24"/>
        </w:rPr>
        <w:t>（联合体牵头方）</w:t>
      </w:r>
      <w:r>
        <w:rPr>
          <w:rFonts w:hint="eastAsia" w:ascii="宋体" w:hAnsi="宋体" w:eastAsia="宋体" w:cs="宋体"/>
          <w:color w:val="auto"/>
          <w:sz w:val="24"/>
          <w:szCs w:val="24"/>
        </w:rPr>
        <w:t>，即应表述为：</w:t>
      </w:r>
      <w:r>
        <w:rPr>
          <w:rStyle w:val="6"/>
          <w:rFonts w:hint="eastAsia" w:ascii="宋体" w:hAnsi="宋体" w:eastAsia="宋体" w:cs="宋体"/>
          <w:b/>
          <w:color w:val="auto"/>
          <w:sz w:val="24"/>
          <w:szCs w:val="24"/>
        </w:rPr>
        <w:t>“牵头方的全称（联合体牵头方）”</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1.2涉及投标人</w:t>
      </w:r>
      <w:r>
        <w:rPr>
          <w:rStyle w:val="6"/>
          <w:rFonts w:hint="eastAsia" w:ascii="宋体" w:hAnsi="宋体" w:eastAsia="宋体" w:cs="宋体"/>
          <w:b/>
          <w:color w:val="auto"/>
          <w:sz w:val="24"/>
          <w:szCs w:val="24"/>
        </w:rPr>
        <w:t>“加盖单位公章”</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6"/>
          <w:rFonts w:hint="eastAsia" w:ascii="宋体" w:hAnsi="宋体" w:eastAsia="宋体" w:cs="宋体"/>
          <w:b/>
          <w:color w:val="auto"/>
          <w:sz w:val="24"/>
          <w:szCs w:val="24"/>
        </w:rPr>
        <w:t>加盖投标人的单位公章</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6"/>
          <w:rFonts w:hint="eastAsia" w:ascii="宋体" w:hAnsi="宋体" w:eastAsia="宋体" w:cs="宋体"/>
          <w:b/>
          <w:color w:val="auto"/>
          <w:sz w:val="24"/>
          <w:szCs w:val="24"/>
        </w:rPr>
        <w:t>加盖联合体牵头方的单位公章</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1.3涉及</w:t>
      </w:r>
      <w:r>
        <w:rPr>
          <w:rStyle w:val="6"/>
          <w:rFonts w:hint="eastAsia" w:ascii="宋体" w:hAnsi="宋体" w:eastAsia="宋体" w:cs="宋体"/>
          <w:b/>
          <w:color w:val="auto"/>
          <w:sz w:val="24"/>
          <w:szCs w:val="24"/>
        </w:rPr>
        <w:t>“投标人代表签字”</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（1）不接受联合体投标的，指由</w:t>
      </w:r>
      <w:r>
        <w:rPr>
          <w:rStyle w:val="6"/>
          <w:rFonts w:hint="eastAsia" w:ascii="宋体" w:hAnsi="宋体" w:eastAsia="宋体" w:cs="宋体"/>
          <w:b/>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（2）接受联合体投标且投标人为联合体的，指由</w:t>
      </w:r>
      <w:r>
        <w:rPr>
          <w:rStyle w:val="6"/>
          <w:rFonts w:hint="eastAsia" w:ascii="宋体" w:hAnsi="宋体" w:eastAsia="宋体" w:cs="宋体"/>
          <w:b/>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1.4</w:t>
      </w:r>
      <w:r>
        <w:rPr>
          <w:rStyle w:val="6"/>
          <w:rFonts w:hint="eastAsia" w:ascii="宋体" w:hAnsi="宋体" w:eastAsia="宋体" w:cs="宋体"/>
          <w:b/>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1.5</w:t>
      </w:r>
      <w:r>
        <w:rPr>
          <w:rStyle w:val="6"/>
          <w:rFonts w:hint="eastAsia" w:ascii="宋体" w:hAnsi="宋体" w:eastAsia="宋体" w:cs="宋体"/>
          <w:b/>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2、除招标文件另有规定外，本章中</w:t>
      </w:r>
      <w:r>
        <w:rPr>
          <w:rStyle w:val="6"/>
          <w:rFonts w:hint="eastAsia" w:ascii="宋体" w:hAnsi="宋体" w:eastAsia="宋体" w:cs="宋体"/>
          <w:b/>
          <w:color w:val="auto"/>
          <w:sz w:val="24"/>
          <w:szCs w:val="24"/>
        </w:rPr>
        <w:t>“投标人的资格及资信证明文件”</w:t>
      </w:r>
      <w:r>
        <w:rPr>
          <w:rFonts w:hint="eastAsia" w:ascii="宋体" w:hAnsi="宋体" w:eastAsia="宋体" w:cs="宋体"/>
          <w:color w:val="auto"/>
          <w:sz w:val="24"/>
          <w:szCs w:val="24"/>
        </w:rPr>
        <w:t>：</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3、投标人对投标文件的索引应编制页码。</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4、除招标文件另有规定外，本章中：</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8"/>
          <w:szCs w:val="28"/>
        </w:rPr>
        <w:t>封面格式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48"/>
          <w:szCs w:val="48"/>
        </w:rPr>
        <w:t>福建省政府采购投标文件</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48"/>
          <w:szCs w:val="48"/>
        </w:rPr>
        <w:t>（资格及资信证明部分）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6"/>
          <w:szCs w:val="36"/>
          <w:u w:val="single"/>
        </w:rPr>
        <w:t>（填写正本或副本）</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项目名称：</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备案编号：</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招标编号：</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所投合同包：</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1"/>
          <w:szCs w:val="31"/>
        </w:rPr>
        <w:t>投标人：</w:t>
      </w:r>
      <w:r>
        <w:rPr>
          <w:rStyle w:val="6"/>
          <w:rFonts w:hint="eastAsia" w:ascii="宋体" w:hAnsi="宋体" w:eastAsia="宋体" w:cs="宋体"/>
          <w:b/>
          <w:color w:val="auto"/>
          <w:sz w:val="31"/>
          <w:szCs w:val="31"/>
          <w:u w:val="single"/>
        </w:rPr>
        <w:t>（填写“全称”）</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1"/>
          <w:szCs w:val="31"/>
          <w:u w:val="single"/>
        </w:rPr>
        <w:t>（由投标人填写）</w:t>
      </w:r>
      <w:r>
        <w:rPr>
          <w:rStyle w:val="6"/>
          <w:rFonts w:hint="eastAsia" w:ascii="宋体" w:hAnsi="宋体" w:eastAsia="宋体" w:cs="宋体"/>
          <w:b/>
          <w:color w:val="auto"/>
          <w:sz w:val="31"/>
          <w:szCs w:val="31"/>
        </w:rPr>
        <w:t>年</w:t>
      </w:r>
      <w:r>
        <w:rPr>
          <w:rStyle w:val="6"/>
          <w:rFonts w:hint="eastAsia" w:ascii="宋体" w:hAnsi="宋体" w:eastAsia="宋体" w:cs="宋体"/>
          <w:b/>
          <w:color w:val="auto"/>
          <w:sz w:val="31"/>
          <w:szCs w:val="31"/>
          <w:u w:val="single"/>
        </w:rPr>
        <w:t>（由投标人填写）</w:t>
      </w:r>
      <w:r>
        <w:rPr>
          <w:rStyle w:val="6"/>
          <w:rFonts w:hint="eastAsia" w:ascii="宋体" w:hAnsi="宋体" w:eastAsia="宋体" w:cs="宋体"/>
          <w:b/>
          <w:color w:val="auto"/>
          <w:sz w:val="31"/>
          <w:szCs w:val="31"/>
        </w:rPr>
        <w:t>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8"/>
          <w:szCs w:val="28"/>
        </w:rPr>
        <w:t>索引</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一、投标函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二、投标人的资格及资信证明文件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三、投标保证金</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6"/>
          <w:rFonts w:hint="eastAsia" w:ascii="宋体" w:hAnsi="宋体" w:eastAsia="宋体" w:cs="宋体"/>
          <w:b/>
          <w:color w:val="auto"/>
          <w:sz w:val="21"/>
          <w:szCs w:val="21"/>
        </w:rPr>
        <w:t>资格审查不合格</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一、投标函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（1）资格及资信证明部分</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①投标函</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②投标人的资格及资信证明文件</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③投标保证金</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（2）报价部分</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①开标一览表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②投标分项报价表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③招标文件规定的价格扣除证明材料（若有）</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④招标文件规定的加分证明材料（若有）</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（3）技术商务部分</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①标的说明一览表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②技术和服务要求响应表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③商务条件响应表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④投标人提交的其他资料（若有）</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w:t>
      </w:r>
      <w:r>
        <w:rPr>
          <w:rStyle w:val="6"/>
          <w:rFonts w:hint="eastAsia" w:ascii="宋体" w:hAnsi="宋体" w:eastAsia="宋体" w:cs="宋体"/>
          <w:b/>
          <w:color w:val="auto"/>
          <w:sz w:val="21"/>
          <w:szCs w:val="21"/>
        </w:rPr>
        <w:t>确认：</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w:t>
      </w:r>
      <w:r>
        <w:rPr>
          <w:rStyle w:val="6"/>
          <w:rFonts w:hint="eastAsia" w:ascii="宋体" w:hAnsi="宋体" w:eastAsia="宋体" w:cs="宋体"/>
          <w:b/>
          <w:color w:val="auto"/>
          <w:sz w:val="21"/>
          <w:szCs w:val="21"/>
        </w:rPr>
        <w:t>承诺及声明：</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6"/>
          <w:rFonts w:hint="eastAsia" w:ascii="宋体" w:hAnsi="宋体" w:eastAsia="宋体" w:cs="宋体"/>
          <w:b/>
          <w:color w:val="auto"/>
          <w:sz w:val="21"/>
          <w:szCs w:val="21"/>
        </w:rPr>
        <w:t>投标无效。</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二、投标人的资格及资信证明文件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二-1单位负责人授权书（若有）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投标人代表无转委权。特此授权。</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授权方</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接受授权方</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附：单位负责人、投标人代表的身份证正反面复印件</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要求：真实有效且内容完整、清晰、整洁。</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 </w:t>
            </w: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6"/>
          <w:rFonts w:hint="eastAsia" w:ascii="宋体" w:hAnsi="宋体" w:eastAsia="宋体" w:cs="宋体"/>
          <w:b/>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5、纸质投标文件正本中的本授权书（若有）应为原件。</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二-2营业执照等证明文件</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）投标人为法人（包括企业、事业单位和社会团体）的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）投标人为非法人（包括其他组织、自然人）的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二-3财务状况报告（财务报告、或资信证明、或投标担保函）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）投标人提供财务报告的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）投标人提供资信证明的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）投标人提供投标担保函的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hint="default" w:ascii="Calibri" w:hAnsi="Calibri" w:eastAsia="宋体" w:cs="Calibri"/>
          <w:color w:val="auto"/>
          <w:sz w:val="21"/>
          <w:szCs w:val="21"/>
        </w:rPr>
        <w:t>[2012]124</w:t>
      </w:r>
      <w:r>
        <w:rPr>
          <w:rFonts w:hint="eastAsia" w:ascii="宋体" w:hAnsi="宋体" w:eastAsia="宋体" w:cs="宋体"/>
          <w:color w:val="auto"/>
          <w:sz w:val="21"/>
          <w:szCs w:val="21"/>
        </w:rPr>
        <w:t>号）的规定。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b/>
          <w:color w:val="auto"/>
          <w:sz w:val="21"/>
          <w:szCs w:val="21"/>
        </w:rPr>
        <w:t>-4依法缴纳税收证明材料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1、依法缴纳税收的投标人</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2、依法免税的投标人</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2、投标人提供的税收凭据复印件应符合下列规定：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6"/>
          <w:rFonts w:hint="eastAsia" w:ascii="宋体" w:hAnsi="宋体" w:eastAsia="宋体" w:cs="宋体"/>
          <w:b/>
          <w:color w:val="auto"/>
          <w:sz w:val="21"/>
          <w:szCs w:val="21"/>
        </w:rPr>
        <w:t>“依法缴纳税收证明材料”</w:t>
      </w:r>
      <w:r>
        <w:rPr>
          <w:rFonts w:hint="eastAsia" w:ascii="宋体" w:hAnsi="宋体" w:eastAsia="宋体" w:cs="宋体"/>
          <w:color w:val="auto"/>
          <w:sz w:val="21"/>
          <w:szCs w:val="21"/>
        </w:rPr>
        <w:t>有欠缴记录的，视为</w:t>
      </w:r>
      <w:r>
        <w:rPr>
          <w:rStyle w:val="6"/>
          <w:rFonts w:hint="eastAsia" w:ascii="宋体" w:hAnsi="宋体" w:eastAsia="宋体" w:cs="宋体"/>
          <w:b/>
          <w:color w:val="auto"/>
          <w:sz w:val="21"/>
          <w:szCs w:val="21"/>
        </w:rPr>
        <w:t>未依法缴纳税收。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二-5依法缴纳社会保障资金证明材料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1、依法缴纳社会保障资金的投标人</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2、依法不需要缴纳社会保障资金的投标人</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2、投标人提供的社会保险凭据复印件应符合下列规定：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6"/>
          <w:rFonts w:hint="eastAsia" w:ascii="宋体" w:hAnsi="宋体" w:eastAsia="宋体" w:cs="宋体"/>
          <w:b/>
          <w:color w:val="auto"/>
          <w:sz w:val="21"/>
          <w:szCs w:val="21"/>
        </w:rPr>
        <w:t>“依法缴纳社会保障资金证明材料”</w:t>
      </w:r>
      <w:r>
        <w:rPr>
          <w:rFonts w:hint="eastAsia" w:ascii="宋体" w:hAnsi="宋体" w:eastAsia="宋体" w:cs="宋体"/>
          <w:color w:val="auto"/>
          <w:sz w:val="21"/>
          <w:szCs w:val="21"/>
        </w:rPr>
        <w:t>有欠缴记录的，视为</w:t>
      </w:r>
      <w:r>
        <w:rPr>
          <w:rStyle w:val="6"/>
          <w:rFonts w:hint="eastAsia" w:ascii="宋体" w:hAnsi="宋体" w:eastAsia="宋体" w:cs="宋体"/>
          <w:b/>
          <w:color w:val="auto"/>
          <w:sz w:val="21"/>
          <w:szCs w:val="21"/>
        </w:rPr>
        <w:t>未依法缴纳社会保障资金。</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b/>
          <w:color w:val="auto"/>
          <w:sz w:val="21"/>
          <w:szCs w:val="21"/>
        </w:rPr>
        <w:t>-6具备履行合同所必需设备和专业技术能力的声明函（若有）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3、纸质投标文件正本中的本声明函（若有）应为原件。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4、请投标人根据实际情况如实声明，否则</w:t>
      </w:r>
      <w:r>
        <w:rPr>
          <w:rStyle w:val="6"/>
          <w:rFonts w:hint="eastAsia" w:ascii="宋体" w:hAnsi="宋体" w:eastAsia="宋体" w:cs="宋体"/>
          <w:b/>
          <w:color w:val="auto"/>
          <w:sz w:val="21"/>
          <w:szCs w:val="21"/>
        </w:rPr>
        <w:t>视为提供虚假材料。</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6"/>
          <w:rFonts w:hint="eastAsia" w:ascii="宋体" w:hAnsi="宋体" w:eastAsia="宋体" w:cs="宋体"/>
          <w:b/>
          <w:color w:val="auto"/>
          <w:sz w:val="21"/>
          <w:szCs w:val="21"/>
        </w:rPr>
        <w:t>-7参加采购活动前三年内在经营活动中没有重大违法记录书面声明</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3、请投标人根据实际情况如实声明，否则</w:t>
      </w:r>
      <w:r>
        <w:rPr>
          <w:rStyle w:val="6"/>
          <w:rFonts w:hint="eastAsia" w:ascii="宋体" w:hAnsi="宋体" w:eastAsia="宋体" w:cs="宋体"/>
          <w:b/>
          <w:color w:val="auto"/>
          <w:sz w:val="21"/>
          <w:szCs w:val="21"/>
        </w:rPr>
        <w:t>视为提供虚假材料。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6"/>
          <w:rFonts w:hint="eastAsia" w:ascii="宋体" w:hAnsi="宋体" w:eastAsia="宋体" w:cs="宋体"/>
          <w:b/>
          <w:color w:val="auto"/>
          <w:sz w:val="21"/>
          <w:szCs w:val="21"/>
        </w:rPr>
        <w:t>-8信用记录查询结果</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投标人应在招标文件要求的截止时点前分别通过“信用中国”网站（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hint="default"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二-9检察机关行贿犯罪档案查询结果告知函</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6"/>
          <w:rFonts w:hint="eastAsia" w:ascii="宋体" w:hAnsi="宋体" w:eastAsia="宋体" w:cs="宋体"/>
          <w:b/>
          <w:color w:val="auto"/>
          <w:sz w:val="21"/>
          <w:szCs w:val="21"/>
        </w:rPr>
        <w:t>投标无效。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6"/>
          <w:rFonts w:hint="eastAsia" w:ascii="宋体" w:hAnsi="宋体" w:eastAsia="宋体" w:cs="宋体"/>
          <w:b/>
          <w:color w:val="auto"/>
          <w:sz w:val="21"/>
          <w:szCs w:val="21"/>
        </w:rPr>
        <w:t>投标无效。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3、告知函应在有效期内且内容完整、清晰、整洁，否则</w:t>
      </w:r>
      <w:r>
        <w:rPr>
          <w:rStyle w:val="6"/>
          <w:rFonts w:hint="eastAsia" w:ascii="宋体" w:hAnsi="宋体" w:eastAsia="宋体" w:cs="宋体"/>
          <w:b/>
          <w:color w:val="auto"/>
          <w:sz w:val="21"/>
          <w:szCs w:val="21"/>
        </w:rPr>
        <w:t>投标无效。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6"/>
          <w:rFonts w:hint="eastAsia" w:ascii="宋体" w:hAnsi="宋体" w:eastAsia="宋体" w:cs="宋体"/>
          <w:b/>
          <w:color w:val="auto"/>
          <w:sz w:val="21"/>
          <w:szCs w:val="21"/>
        </w:rPr>
        <w:t>均视同有效。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6"/>
          <w:rFonts w:hint="eastAsia" w:ascii="宋体" w:hAnsi="宋体" w:eastAsia="宋体" w:cs="宋体"/>
          <w:b/>
          <w:color w:val="auto"/>
          <w:sz w:val="21"/>
          <w:szCs w:val="21"/>
        </w:rPr>
        <w:t>二-10联合体协议（若有）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一、联合体各方应承担的工作和义务具体如下：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2、成员方：</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二、联合体各方约定：</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3、联合体各方约定以</w:t>
      </w:r>
      <w:r>
        <w:rPr>
          <w:rFonts w:hint="eastAsia" w:ascii="宋体" w:hAnsi="宋体" w:eastAsia="宋体" w:cs="宋体"/>
          <w:color w:val="auto"/>
          <w:sz w:val="21"/>
          <w:szCs w:val="21"/>
          <w:u w:val="single"/>
        </w:rPr>
        <w:t>（本项目采用综合评分法的，应填写“具体成员方的全称”；否则填写“无”）</w:t>
      </w:r>
      <w:r>
        <w:rPr>
          <w:rFonts w:hint="eastAsia" w:ascii="宋体" w:hAnsi="宋体" w:eastAsia="宋体" w:cs="宋体"/>
          <w:color w:val="auto"/>
          <w:sz w:val="21"/>
          <w:szCs w:val="21"/>
        </w:rPr>
        <w:t>的条件参与商务部分的评标。</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3、纸质投标文件正本中的本协议（若有）应为原件。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二-11中小企业声明函</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（专门面向中小企业或小型、微型企业适用，若有）</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4、投标人为残疾人福利性单位的，可不填写本声明函，根据其提供的《残疾人福利性单位声明函》（格式附后）进行认定，残疾人福利性单位视同小型、微型企业。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5、纸质投标文件正本中的本声明函（若有）应为原件。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6、若《中小企业声明函》（包括本格式第</w:t>
      </w:r>
      <w:r>
        <w:rPr>
          <w:rFonts w:hint="default" w:ascii="Calibri" w:hAnsi="Calibri" w:eastAsia="宋体" w:cs="Calibri"/>
          <w:color w:val="auto"/>
          <w:sz w:val="21"/>
          <w:szCs w:val="21"/>
        </w:rPr>
        <w:t>3</w:t>
      </w:r>
      <w:r>
        <w:rPr>
          <w:rFonts w:hint="eastAsia" w:ascii="宋体" w:hAnsi="宋体" w:eastAsia="宋体" w:cs="宋体"/>
          <w:color w:val="auto"/>
          <w:sz w:val="21"/>
          <w:szCs w:val="21"/>
        </w:rPr>
        <w:t>、</w:t>
      </w:r>
      <w:r>
        <w:rPr>
          <w:rFonts w:hint="default" w:ascii="Calibri" w:hAnsi="Calibri" w:eastAsia="宋体" w:cs="Calibri"/>
          <w:color w:val="auto"/>
          <w:sz w:val="21"/>
          <w:szCs w:val="21"/>
        </w:rPr>
        <w:t>4</w:t>
      </w:r>
      <w:r>
        <w:rPr>
          <w:rFonts w:hint="eastAsia" w:ascii="宋体" w:hAnsi="宋体" w:eastAsia="宋体" w:cs="宋体"/>
          <w:color w:val="auto"/>
          <w:sz w:val="21"/>
          <w:szCs w:val="21"/>
        </w:rPr>
        <w:t>条规定的证明文件及声明函）内容不真实，</w:t>
      </w:r>
      <w:r>
        <w:rPr>
          <w:rStyle w:val="6"/>
          <w:rFonts w:hint="eastAsia" w:ascii="宋体" w:hAnsi="宋体" w:eastAsia="宋体" w:cs="宋体"/>
          <w:b/>
          <w:color w:val="auto"/>
          <w:sz w:val="21"/>
          <w:szCs w:val="21"/>
        </w:rPr>
        <w:t>视为提供虚假材料。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残疾人福利性单位声明函</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（专门面向中小企业或小型、微型企业适用，若有）</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3、若《残疾人福利性单位声明函》内容不真实，</w:t>
      </w:r>
      <w:r>
        <w:rPr>
          <w:rStyle w:val="6"/>
          <w:rFonts w:hint="eastAsia" w:ascii="宋体" w:hAnsi="宋体" w:eastAsia="宋体" w:cs="宋体"/>
          <w:b/>
          <w:color w:val="auto"/>
          <w:sz w:val="21"/>
          <w:szCs w:val="21"/>
        </w:rPr>
        <w:t>视为提供虚假材料。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6"/>
          <w:rFonts w:hint="eastAsia" w:ascii="宋体" w:hAnsi="宋体" w:eastAsia="宋体" w:cs="宋体"/>
          <w:b/>
          <w:color w:val="auto"/>
          <w:sz w:val="21"/>
          <w:szCs w:val="21"/>
        </w:rPr>
        <w:t>二-12其他资格证明文件（若有）</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6"/>
          <w:rFonts w:hint="eastAsia" w:ascii="宋体" w:hAnsi="宋体" w:eastAsia="宋体" w:cs="宋体"/>
          <w:b/>
          <w:color w:val="auto"/>
          <w:sz w:val="21"/>
          <w:szCs w:val="21"/>
        </w:rPr>
        <w:t>-12-①具备履行合同所必需设备和专业技术能力专项证明材料（若有）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4"/>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二-12-②招标文件规定的其他资格证明文件（若有）</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三</w:t>
      </w:r>
      <w:r>
        <w:rPr>
          <w:rStyle w:val="6"/>
          <w:rFonts w:hint="eastAsia" w:ascii="宋体" w:hAnsi="宋体" w:eastAsia="宋体" w:cs="宋体"/>
          <w:b/>
          <w:color w:val="auto"/>
          <w:sz w:val="21"/>
          <w:szCs w:val="21"/>
        </w:rPr>
        <w:t>、投标保证金</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1、在此项下提交的</w:t>
      </w:r>
      <w:r>
        <w:rPr>
          <w:rStyle w:val="6"/>
          <w:rFonts w:hint="eastAsia" w:ascii="宋体" w:hAnsi="宋体" w:eastAsia="宋体" w:cs="宋体"/>
          <w:b/>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2、投标保证金是否已提交的认定按照招标文件第三章规定执行。</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8"/>
          <w:szCs w:val="28"/>
        </w:rPr>
        <w:t>封面格式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48"/>
          <w:szCs w:val="48"/>
        </w:rPr>
        <w:t>福建省政府采购投标文件</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48"/>
          <w:szCs w:val="48"/>
        </w:rPr>
        <w:t>（报价部分）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6"/>
          <w:szCs w:val="36"/>
          <w:u w:val="single"/>
        </w:rPr>
        <w:t>（填写正本或副本）</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项目名称：</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备案编号：</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招标编号：</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所投合同包：</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1"/>
          <w:szCs w:val="31"/>
        </w:rPr>
        <w:t>投标人：</w:t>
      </w:r>
      <w:r>
        <w:rPr>
          <w:rStyle w:val="6"/>
          <w:rFonts w:hint="eastAsia" w:ascii="宋体" w:hAnsi="宋体" w:eastAsia="宋体" w:cs="宋体"/>
          <w:b/>
          <w:color w:val="auto"/>
          <w:sz w:val="31"/>
          <w:szCs w:val="31"/>
          <w:u w:val="single"/>
        </w:rPr>
        <w:t>（填写“全称”）</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1"/>
          <w:szCs w:val="31"/>
          <w:u w:val="single"/>
        </w:rPr>
        <w:t>（由投标人填写）</w:t>
      </w:r>
      <w:r>
        <w:rPr>
          <w:rStyle w:val="6"/>
          <w:rFonts w:hint="eastAsia" w:ascii="宋体" w:hAnsi="宋体" w:eastAsia="宋体" w:cs="宋体"/>
          <w:b/>
          <w:color w:val="auto"/>
          <w:sz w:val="31"/>
          <w:szCs w:val="31"/>
        </w:rPr>
        <w:t>年</w:t>
      </w:r>
      <w:r>
        <w:rPr>
          <w:rStyle w:val="6"/>
          <w:rFonts w:hint="eastAsia" w:ascii="宋体" w:hAnsi="宋体" w:eastAsia="宋体" w:cs="宋体"/>
          <w:b/>
          <w:color w:val="auto"/>
          <w:sz w:val="31"/>
          <w:szCs w:val="31"/>
          <w:u w:val="single"/>
        </w:rPr>
        <w:t>（由投标人填写）</w:t>
      </w:r>
      <w:r>
        <w:rPr>
          <w:rStyle w:val="6"/>
          <w:rFonts w:hint="eastAsia" w:ascii="宋体" w:hAnsi="宋体" w:eastAsia="宋体" w:cs="宋体"/>
          <w:b/>
          <w:color w:val="auto"/>
          <w:sz w:val="31"/>
          <w:szCs w:val="31"/>
        </w:rPr>
        <w:t>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8"/>
          <w:szCs w:val="28"/>
        </w:rPr>
        <w:t>索引</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一、开标一览表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二、投标分项报价表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三、招标文件规定的价格扣除证明材料（若有）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四、招标文件规定的加分证明材料（若有）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一、开标一览表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143"/>
        <w:gridCol w:w="3806"/>
        <w:gridCol w:w="984"/>
        <w:gridCol w:w="258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1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380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投标报价</w:t>
            </w:r>
          </w:p>
        </w:tc>
        <w:tc>
          <w:tcPr>
            <w:tcW w:w="98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保证金</w:t>
            </w:r>
          </w:p>
        </w:tc>
        <w:tc>
          <w:tcPr>
            <w:tcW w:w="258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14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38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9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87"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a.投标报价的明细：详见《投标分项报价表》。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14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38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98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587"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1.1投标人应按照本表格式填写所投的合同包的“投标报价”。</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二、投标分项报价表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2"/>
        <w:gridCol w:w="959"/>
        <w:gridCol w:w="1560"/>
        <w:gridCol w:w="1275"/>
        <w:gridCol w:w="855"/>
        <w:gridCol w:w="990"/>
        <w:gridCol w:w="570"/>
        <w:gridCol w:w="1095"/>
        <w:gridCol w:w="7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9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79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2"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9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7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2"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7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9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7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6"/>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b/>
          <w:color w:val="auto"/>
          <w:sz w:val="21"/>
          <w:szCs w:val="21"/>
        </w:rPr>
        <w:t>“来源地”</w:t>
      </w:r>
      <w:r>
        <w:rPr>
          <w:rFonts w:hint="eastAsia" w:ascii="宋体" w:hAnsi="宋体" w:eastAsia="宋体" w:cs="宋体"/>
          <w:color w:val="auto"/>
          <w:sz w:val="21"/>
          <w:szCs w:val="21"/>
        </w:rPr>
        <w:t>应填写货物的原产地。</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6"/>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6"/>
          <w:rFonts w:hint="eastAsia" w:ascii="宋体" w:hAnsi="宋体" w:eastAsia="宋体" w:cs="宋体"/>
          <w:b/>
          <w:color w:val="auto"/>
          <w:sz w:val="21"/>
          <w:szCs w:val="21"/>
        </w:rPr>
        <w:t>“来源地”</w:t>
      </w:r>
      <w:r>
        <w:rPr>
          <w:rFonts w:hint="eastAsia" w:ascii="宋体" w:hAnsi="宋体" w:eastAsia="宋体" w:cs="宋体"/>
          <w:color w:val="auto"/>
          <w:sz w:val="21"/>
          <w:szCs w:val="21"/>
        </w:rPr>
        <w:t>应填写服务提供者的所在地。</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1.4同一合同包中，</w:t>
      </w:r>
      <w:r>
        <w:rPr>
          <w:rStyle w:val="6"/>
          <w:rFonts w:hint="eastAsia" w:ascii="宋体" w:hAnsi="宋体" w:eastAsia="宋体" w:cs="宋体"/>
          <w:b/>
          <w:color w:val="auto"/>
          <w:sz w:val="21"/>
          <w:szCs w:val="21"/>
        </w:rPr>
        <w:t>“单价（现场）”</w:t>
      </w:r>
      <w:r>
        <w:rPr>
          <w:rFonts w:hint="eastAsia" w:ascii="宋体" w:hAnsi="宋体" w:eastAsia="宋体" w:cs="宋体"/>
          <w:color w:val="auto"/>
          <w:sz w:val="21"/>
          <w:szCs w:val="21"/>
        </w:rPr>
        <w:t>×</w:t>
      </w:r>
      <w:r>
        <w:rPr>
          <w:rStyle w:val="6"/>
          <w:rFonts w:hint="eastAsia" w:ascii="宋体" w:hAnsi="宋体" w:eastAsia="宋体" w:cs="宋体"/>
          <w:b/>
          <w:color w:val="auto"/>
          <w:sz w:val="21"/>
          <w:szCs w:val="21"/>
        </w:rPr>
        <w:t>“数量”</w:t>
      </w:r>
      <w:r>
        <w:rPr>
          <w:rFonts w:hint="eastAsia" w:ascii="宋体" w:hAnsi="宋体" w:eastAsia="宋体" w:cs="宋体"/>
          <w:color w:val="auto"/>
          <w:sz w:val="21"/>
          <w:szCs w:val="21"/>
        </w:rPr>
        <w:t>=</w:t>
      </w:r>
      <w:r>
        <w:rPr>
          <w:rStyle w:val="6"/>
          <w:rFonts w:hint="eastAsia" w:ascii="宋体" w:hAnsi="宋体" w:eastAsia="宋体" w:cs="宋体"/>
          <w:b/>
          <w:color w:val="auto"/>
          <w:sz w:val="21"/>
          <w:szCs w:val="21"/>
        </w:rPr>
        <w:t>“总价（现场）”</w:t>
      </w:r>
      <w:r>
        <w:rPr>
          <w:rFonts w:hint="eastAsia" w:ascii="宋体" w:hAnsi="宋体" w:eastAsia="宋体" w:cs="宋体"/>
          <w:color w:val="auto"/>
          <w:sz w:val="21"/>
          <w:szCs w:val="21"/>
        </w:rPr>
        <w:t>，全部品目号</w:t>
      </w:r>
      <w:r>
        <w:rPr>
          <w:rStyle w:val="6"/>
          <w:rFonts w:hint="eastAsia" w:ascii="宋体" w:hAnsi="宋体" w:eastAsia="宋体" w:cs="宋体"/>
          <w:b/>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6"/>
          <w:rFonts w:hint="eastAsia" w:ascii="宋体" w:hAnsi="宋体" w:eastAsia="宋体" w:cs="宋体"/>
          <w:b/>
          <w:color w:val="auto"/>
          <w:sz w:val="21"/>
          <w:szCs w:val="21"/>
        </w:rPr>
        <w:t>“投标总价”</w:t>
      </w:r>
      <w:r>
        <w:rPr>
          <w:rFonts w:hint="eastAsia" w:ascii="宋体" w:hAnsi="宋体" w:eastAsia="宋体" w:cs="宋体"/>
          <w:color w:val="auto"/>
          <w:sz w:val="21"/>
          <w:szCs w:val="21"/>
        </w:rPr>
        <w:t>保持一致。</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6"/>
          <w:rFonts w:hint="eastAsia" w:ascii="宋体" w:hAnsi="宋体" w:eastAsia="宋体" w:cs="宋体"/>
          <w:b/>
          <w:color w:val="auto"/>
          <w:sz w:val="21"/>
          <w:szCs w:val="21"/>
        </w:rPr>
        <w:t>“备注”</w:t>
      </w:r>
      <w:r>
        <w:rPr>
          <w:rFonts w:hint="eastAsia" w:ascii="宋体" w:hAnsi="宋体" w:eastAsia="宋体" w:cs="宋体"/>
          <w:color w:val="auto"/>
          <w:sz w:val="21"/>
          <w:szCs w:val="21"/>
        </w:rPr>
        <w:t>项下填写。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2、纸质投标文件正本中的本表应为原件。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三、招标文件规定的价格扣除证明材料（若有）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三-1优先类节能产品、环境标志产品价格扣除证明材料（若有）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三-1-①优先类节能产品、环境标志产品统计表（价格扣除适用，若有）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1、对节能、环境标志产品计算价格扣除时，只依据投标文件</w:t>
      </w:r>
      <w:r>
        <w:rPr>
          <w:rStyle w:val="6"/>
          <w:rFonts w:hint="eastAsia" w:ascii="宋体" w:hAnsi="宋体" w:eastAsia="宋体" w:cs="宋体"/>
          <w:b/>
          <w:color w:val="auto"/>
          <w:sz w:val="21"/>
          <w:szCs w:val="21"/>
        </w:rPr>
        <w:t>“三</w:t>
      </w:r>
      <w:r>
        <w:rPr>
          <w:rStyle w:val="6"/>
          <w:rFonts w:hint="default" w:ascii="Calibri" w:hAnsi="Calibri" w:eastAsia="宋体" w:cs="Calibri"/>
          <w:b/>
          <w:color w:val="auto"/>
          <w:sz w:val="21"/>
          <w:szCs w:val="21"/>
        </w:rPr>
        <w:t>-1-</w:t>
      </w:r>
      <w:r>
        <w:rPr>
          <w:rStyle w:val="6"/>
          <w:rFonts w:hint="eastAsia" w:ascii="宋体" w:hAnsi="宋体" w:eastAsia="宋体" w:cs="宋体"/>
          <w:b/>
          <w:color w:val="auto"/>
          <w:sz w:val="21"/>
          <w:szCs w:val="21"/>
        </w:rPr>
        <w:t>②优先类节能产品、环境标志产品证明材料（价格扣除适用，若有）”。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6"/>
          <w:rFonts w:hint="eastAsia" w:ascii="宋体" w:hAnsi="宋体" w:eastAsia="宋体" w:cs="宋体"/>
          <w:b/>
          <w:color w:val="auto"/>
          <w:sz w:val="21"/>
          <w:szCs w:val="21"/>
        </w:rPr>
        <w:t>视为提供虚假材料。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三-1-②优先类节能产品、环境标志产品证明材料（价格扣除适用，若有）</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三-2小型、微型企业产品等价格扣除证明材料（若有）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三-2-①小型、微型企业产品等统计表（价格扣除适用，若有）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1、对小型、微型企业产品等计算价格扣除时，只依据投标文件</w:t>
      </w:r>
      <w:r>
        <w:rPr>
          <w:rStyle w:val="6"/>
          <w:rFonts w:hint="eastAsia" w:ascii="宋体" w:hAnsi="宋体" w:eastAsia="宋体" w:cs="宋体"/>
          <w:b/>
          <w:color w:val="auto"/>
          <w:sz w:val="21"/>
          <w:szCs w:val="21"/>
        </w:rPr>
        <w:t>“三</w:t>
      </w:r>
      <w:r>
        <w:rPr>
          <w:rStyle w:val="6"/>
          <w:rFonts w:hint="default" w:ascii="Calibri" w:hAnsi="Calibri" w:eastAsia="宋体" w:cs="Calibri"/>
          <w:b/>
          <w:color w:val="auto"/>
          <w:sz w:val="21"/>
          <w:szCs w:val="21"/>
        </w:rPr>
        <w:t>-2-</w:t>
      </w:r>
      <w:r>
        <w:rPr>
          <w:rStyle w:val="6"/>
          <w:rFonts w:hint="eastAsia" w:ascii="宋体" w:hAnsi="宋体" w:eastAsia="宋体" w:cs="宋体"/>
          <w:b/>
          <w:color w:val="auto"/>
          <w:sz w:val="21"/>
          <w:szCs w:val="21"/>
        </w:rPr>
        <w:t>②中小企业声明函（价格扣除适用，若有）”及“三</w:t>
      </w:r>
      <w:r>
        <w:rPr>
          <w:rStyle w:val="6"/>
          <w:rFonts w:hint="default" w:ascii="Calibri" w:hAnsi="Calibri" w:eastAsia="宋体" w:cs="Calibri"/>
          <w:b/>
          <w:color w:val="auto"/>
          <w:sz w:val="21"/>
          <w:szCs w:val="21"/>
        </w:rPr>
        <w:t>-2-</w:t>
      </w:r>
      <w:r>
        <w:rPr>
          <w:rStyle w:val="6"/>
          <w:rFonts w:hint="eastAsia" w:ascii="宋体" w:hAnsi="宋体" w:eastAsia="宋体" w:cs="宋体"/>
          <w:b/>
          <w:color w:val="auto"/>
          <w:sz w:val="21"/>
          <w:szCs w:val="21"/>
        </w:rPr>
        <w:t>③小型、微型企业等证明材料（价格扣除适用，若有）”。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6"/>
          <w:rFonts w:hint="eastAsia" w:ascii="宋体" w:hAnsi="宋体" w:eastAsia="宋体" w:cs="宋体"/>
          <w:b/>
          <w:color w:val="auto"/>
          <w:sz w:val="21"/>
          <w:szCs w:val="21"/>
        </w:rPr>
        <w:t>除本表第4条规定情形外，小型、微型企业（含监狱企业）承担的工程或提供的服务不享受价格扣除。</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b/>
          <w:color w:val="auto"/>
          <w:sz w:val="21"/>
          <w:szCs w:val="21"/>
        </w:rPr>
        <w:t>可享受价格扣除。</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5、纸质投标文件正本中的本表（若有）应为原件。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三-2-②中小企业声明函（价格扣除适用，若有）</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（填写“项目名称”） </w:t>
      </w:r>
      <w:r>
        <w:rPr>
          <w:rFonts w:hint="eastAsia" w:ascii="宋体" w:hAnsi="宋体" w:eastAsia="宋体" w:cs="宋体"/>
          <w:color w:val="auto"/>
          <w:sz w:val="21"/>
          <w:szCs w:val="21"/>
        </w:rPr>
        <w:t>项目采购活动，其中：</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①货物（不包括使用大型企业注册商标的货物）：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②工程：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③服务：</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3、若《中小企业声明函》内容不真实，</w:t>
      </w:r>
      <w:r>
        <w:rPr>
          <w:rStyle w:val="6"/>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4、投标人为监狱企业的，可不填写本声明函。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5、投标人为残疾人福利性单位的，可不填写本声明函。</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6、纸质投标文件正本中的本声明函（若有）应为原件。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三-2-③小型、微型企业等证明材料（价格扣除适用，若有）</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残疾人福利性单位声明函（价格扣除适用，若有）</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2、纸质投标文件正本中的本声明函（若有）应为原件。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3、若《残疾人福利性单位声明函》内容不真实，</w:t>
      </w:r>
      <w:r>
        <w:rPr>
          <w:rStyle w:val="6"/>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6"/>
          <w:rFonts w:hint="eastAsia" w:ascii="宋体" w:hAnsi="宋体" w:eastAsia="宋体" w:cs="宋体"/>
          <w:b/>
          <w:color w:val="auto"/>
          <w:sz w:val="21"/>
          <w:szCs w:val="21"/>
        </w:rPr>
        <w:t>可享受价格扣除。</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三-3招标文件规定的其他价格扣除证明材料（若有）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6"/>
          <w:rFonts w:hint="eastAsia" w:ascii="宋体" w:hAnsi="宋体" w:eastAsia="宋体" w:cs="宋体"/>
          <w:b/>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四、招标文件规定的加分证明材料（若有）</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四-1优先类节能产品、环境标志产品加分证明材料（若有）</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四-1-①优先类节能产品、环境标志产品统计表（加分适用，若有）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1、对节能、环境标志产品计算加分时，只依据投标文件</w:t>
      </w:r>
      <w:r>
        <w:rPr>
          <w:rStyle w:val="6"/>
          <w:rFonts w:hint="eastAsia" w:ascii="宋体" w:hAnsi="宋体" w:eastAsia="宋体" w:cs="宋体"/>
          <w:b/>
          <w:color w:val="auto"/>
          <w:sz w:val="21"/>
          <w:szCs w:val="21"/>
        </w:rPr>
        <w:t>“四</w:t>
      </w:r>
      <w:r>
        <w:rPr>
          <w:rStyle w:val="6"/>
          <w:rFonts w:hint="default" w:ascii="Calibri" w:hAnsi="Calibri" w:eastAsia="宋体" w:cs="Calibri"/>
          <w:b/>
          <w:color w:val="auto"/>
          <w:sz w:val="21"/>
          <w:szCs w:val="21"/>
        </w:rPr>
        <w:t>-1-</w:t>
      </w:r>
      <w:r>
        <w:rPr>
          <w:rStyle w:val="6"/>
          <w:rFonts w:hint="eastAsia" w:ascii="宋体" w:hAnsi="宋体" w:eastAsia="宋体" w:cs="宋体"/>
          <w:b/>
          <w:color w:val="auto"/>
          <w:sz w:val="21"/>
          <w:szCs w:val="21"/>
        </w:rPr>
        <w:t>②优先类节能产品、环境标志产品加分证明材料（加分适用，若有）”。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6"/>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4、纸质投标文件正本中的本表（若有）应为原件。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四-1-②优先类节能产品、环境标志产品证明材料（加分适用，若有）</w:t>
      </w:r>
    </w:p>
    <w:p>
      <w:pPr>
        <w:pStyle w:val="4"/>
        <w:keepNext w:val="0"/>
        <w:keepLines w:val="0"/>
        <w:widowControl/>
        <w:suppressLineNumbers w:val="0"/>
        <w:spacing w:before="0" w:beforeAutospacing="0" w:after="150" w:afterAutospacing="0"/>
        <w:ind w:left="0" w:right="0"/>
        <w:rPr>
          <w:color w:val="auto"/>
        </w:rPr>
      </w:pPr>
      <w:r>
        <w:rPr>
          <w:rStyle w:val="6"/>
          <w:rFonts w:hint="eastAsia" w:ascii="宋体" w:hAnsi="宋体" w:eastAsia="宋体" w:cs="宋体"/>
          <w:b/>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6"/>
          <w:rFonts w:hint="eastAsia" w:ascii="宋体" w:hAnsi="宋体" w:eastAsia="宋体" w:cs="宋体"/>
          <w:b/>
          <w:color w:val="auto"/>
          <w:sz w:val="21"/>
          <w:szCs w:val="21"/>
        </w:rPr>
        <w:t>-2招标文件规定的其他加分证明材料（若有）</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6"/>
          <w:rFonts w:hint="eastAsia" w:ascii="宋体" w:hAnsi="宋体" w:eastAsia="宋体" w:cs="宋体"/>
          <w:b/>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rStyle w:val="6"/>
          <w:rFonts w:hint="eastAsia" w:ascii="宋体" w:hAnsi="宋体" w:eastAsia="宋体" w:cs="宋体"/>
          <w:b/>
          <w:color w:val="auto"/>
          <w:sz w:val="28"/>
          <w:szCs w:val="28"/>
        </w:rPr>
      </w:pP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8"/>
          <w:szCs w:val="28"/>
        </w:rPr>
        <w:t>封面格式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48"/>
          <w:szCs w:val="48"/>
        </w:rPr>
        <w:t>福建省政府采购投标文件</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48"/>
          <w:szCs w:val="48"/>
        </w:rPr>
        <w:t>（技术商务部分）</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6"/>
          <w:szCs w:val="36"/>
          <w:u w:val="single"/>
        </w:rPr>
        <w:t>（填写正本或副本）</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项目名称：</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备案编号：</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招标编号：</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firstLine="1920"/>
        <w:rPr>
          <w:color w:val="auto"/>
        </w:rPr>
      </w:pPr>
      <w:r>
        <w:rPr>
          <w:rStyle w:val="6"/>
          <w:rFonts w:hint="eastAsia" w:ascii="宋体" w:hAnsi="宋体" w:eastAsia="宋体" w:cs="宋体"/>
          <w:b/>
          <w:color w:val="auto"/>
          <w:sz w:val="31"/>
          <w:szCs w:val="31"/>
        </w:rPr>
        <w:t>所投合同包：</w:t>
      </w:r>
      <w:r>
        <w:rPr>
          <w:rStyle w:val="6"/>
          <w:rFonts w:hint="eastAsia" w:ascii="宋体" w:hAnsi="宋体" w:eastAsia="宋体" w:cs="宋体"/>
          <w:b/>
          <w:color w:val="auto"/>
          <w:sz w:val="31"/>
          <w:szCs w:val="31"/>
          <w:u w:val="single"/>
        </w:rPr>
        <w:t>（由投标人填写）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1"/>
          <w:szCs w:val="31"/>
        </w:rPr>
        <w:t>投标人：</w:t>
      </w:r>
      <w:r>
        <w:rPr>
          <w:rStyle w:val="6"/>
          <w:rFonts w:hint="eastAsia" w:ascii="宋体" w:hAnsi="宋体" w:eastAsia="宋体" w:cs="宋体"/>
          <w:b/>
          <w:color w:val="auto"/>
          <w:sz w:val="31"/>
          <w:szCs w:val="31"/>
          <w:u w:val="single"/>
        </w:rPr>
        <w:t>（填写“全称”）</w:t>
      </w: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31"/>
          <w:szCs w:val="31"/>
          <w:u w:val="single"/>
        </w:rPr>
        <w:t>（由投标人填写）</w:t>
      </w:r>
      <w:r>
        <w:rPr>
          <w:rStyle w:val="6"/>
          <w:rFonts w:hint="eastAsia" w:ascii="宋体" w:hAnsi="宋体" w:eastAsia="宋体" w:cs="宋体"/>
          <w:b/>
          <w:color w:val="auto"/>
          <w:sz w:val="31"/>
          <w:szCs w:val="31"/>
        </w:rPr>
        <w:t>年</w:t>
      </w:r>
      <w:r>
        <w:rPr>
          <w:rStyle w:val="6"/>
          <w:rFonts w:hint="eastAsia" w:ascii="宋体" w:hAnsi="宋体" w:eastAsia="宋体" w:cs="宋体"/>
          <w:b/>
          <w:color w:val="auto"/>
          <w:sz w:val="31"/>
          <w:szCs w:val="31"/>
          <w:u w:val="single"/>
        </w:rPr>
        <w:t>（由投标人填写）</w:t>
      </w:r>
      <w:r>
        <w:rPr>
          <w:rStyle w:val="6"/>
          <w:rFonts w:hint="eastAsia" w:ascii="宋体" w:hAnsi="宋体" w:eastAsia="宋体" w:cs="宋体"/>
          <w:b/>
          <w:color w:val="auto"/>
          <w:sz w:val="31"/>
          <w:szCs w:val="31"/>
        </w:rPr>
        <w:t>月</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8"/>
          <w:szCs w:val="28"/>
        </w:rPr>
        <w:t>索引</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一、标的说明一览表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二、技术和服务要求响应表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三、商务条件响应表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四、投标人提交的其他资料（若有）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6"/>
          <w:rFonts w:hint="eastAsia" w:ascii="宋体" w:hAnsi="宋体" w:eastAsia="宋体" w:cs="宋体"/>
          <w:b/>
          <w:color w:val="auto"/>
          <w:sz w:val="21"/>
          <w:szCs w:val="21"/>
        </w:rPr>
        <w:t>符合性审查不合格</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Style w:val="6"/>
          <w:rFonts w:hint="eastAsia" w:ascii="宋体" w:hAnsi="宋体" w:eastAsia="宋体" w:cs="宋体"/>
          <w:b/>
          <w:color w:val="auto"/>
          <w:sz w:val="21"/>
          <w:szCs w:val="21"/>
        </w:rPr>
        <w:t>一、标的说明一览表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7"/>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9"/>
        <w:gridCol w:w="854"/>
        <w:gridCol w:w="1694"/>
        <w:gridCol w:w="854"/>
        <w:gridCol w:w="1139"/>
        <w:gridCol w:w="1139"/>
        <w:gridCol w:w="18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69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187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6"/>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6"/>
          <w:rFonts w:hint="eastAsia" w:ascii="宋体" w:hAnsi="宋体" w:eastAsia="宋体" w:cs="宋体"/>
          <w:b/>
          <w:color w:val="auto"/>
          <w:sz w:val="21"/>
          <w:szCs w:val="21"/>
        </w:rPr>
        <w:t>“来源地”</w:t>
      </w:r>
      <w:r>
        <w:rPr>
          <w:rFonts w:hint="eastAsia" w:ascii="宋体" w:hAnsi="宋体" w:eastAsia="宋体" w:cs="宋体"/>
          <w:color w:val="auto"/>
          <w:sz w:val="21"/>
          <w:szCs w:val="21"/>
        </w:rPr>
        <w:t>应填写货物的原产地。</w:t>
      </w:r>
      <w:r>
        <w:rPr>
          <w:rStyle w:val="6"/>
          <w:rFonts w:hint="eastAsia" w:ascii="宋体" w:hAnsi="宋体" w:eastAsia="宋体" w:cs="宋体"/>
          <w:b/>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6"/>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6"/>
          <w:rFonts w:hint="eastAsia" w:ascii="宋体" w:hAnsi="宋体" w:eastAsia="宋体" w:cs="宋体"/>
          <w:b/>
          <w:color w:val="auto"/>
          <w:sz w:val="21"/>
          <w:szCs w:val="21"/>
        </w:rPr>
        <w:t>“来源地”</w:t>
      </w:r>
      <w:r>
        <w:rPr>
          <w:rFonts w:hint="eastAsia" w:ascii="宋体" w:hAnsi="宋体" w:eastAsia="宋体" w:cs="宋体"/>
          <w:color w:val="auto"/>
          <w:sz w:val="21"/>
          <w:szCs w:val="21"/>
        </w:rPr>
        <w:t>应填写服务提供者的所在地。</w:t>
      </w:r>
      <w:r>
        <w:rPr>
          <w:rStyle w:val="6"/>
          <w:rFonts w:hint="eastAsia" w:ascii="宋体" w:hAnsi="宋体" w:eastAsia="宋体" w:cs="宋体"/>
          <w:b/>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6"/>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3、投标文件中涉及</w:t>
      </w:r>
      <w:r>
        <w:rPr>
          <w:rStyle w:val="6"/>
          <w:rFonts w:hint="eastAsia" w:ascii="宋体" w:hAnsi="宋体" w:eastAsia="宋体" w:cs="宋体"/>
          <w:b/>
          <w:color w:val="auto"/>
          <w:sz w:val="21"/>
          <w:szCs w:val="21"/>
        </w:rPr>
        <w:t>“投标标的”、“数量”、“规格”、“来源地”</w:t>
      </w:r>
      <w:r>
        <w:rPr>
          <w:rFonts w:hint="eastAsia" w:ascii="宋体" w:hAnsi="宋体" w:eastAsia="宋体" w:cs="宋体"/>
          <w:color w:val="auto"/>
          <w:sz w:val="21"/>
          <w:szCs w:val="21"/>
        </w:rPr>
        <w:t>的内容若不一致，</w:t>
      </w:r>
      <w:r>
        <w:rPr>
          <w:rStyle w:val="6"/>
          <w:rFonts w:hint="eastAsia" w:ascii="宋体" w:hAnsi="宋体" w:eastAsia="宋体" w:cs="宋体"/>
          <w:b/>
          <w:color w:val="auto"/>
          <w:sz w:val="21"/>
          <w:szCs w:val="21"/>
        </w:rPr>
        <w:t>应以本表为准</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Style w:val="6"/>
          <w:rFonts w:hint="default" w:ascii="Calibri" w:hAnsi="Calibri" w:cs="Calibri"/>
          <w:b/>
          <w:color w:val="auto"/>
          <w:sz w:val="21"/>
          <w:szCs w:val="21"/>
        </w:rPr>
        <w:br w:type="textWrapping"/>
      </w:r>
      <w:r>
        <w:rPr>
          <w:rStyle w:val="6"/>
          <w:rFonts w:hint="eastAsia" w:ascii="宋体" w:hAnsi="宋体" w:eastAsia="宋体" w:cs="宋体"/>
          <w:b/>
          <w:color w:val="auto"/>
          <w:sz w:val="21"/>
          <w:szCs w:val="21"/>
        </w:rPr>
        <w:t>二、技术和服务要求响应表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6"/>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6"/>
          <w:rFonts w:hint="eastAsia" w:ascii="宋体" w:hAnsi="宋体" w:eastAsia="宋体" w:cs="宋体"/>
          <w:b/>
          <w:color w:val="auto"/>
          <w:sz w:val="21"/>
          <w:szCs w:val="21"/>
        </w:rPr>
        <w:t>三、商务条件响应表</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6"/>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3、纸质投标文件正本中的本表应为原件。</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rPr>
          <w:rFonts w:hint="eastAsia" w:ascii="宋体" w:hAnsi="宋体" w:eastAsia="宋体" w:cs="宋体"/>
          <w:color w:val="auto"/>
          <w:sz w:val="21"/>
          <w:szCs w:val="21"/>
        </w:rPr>
      </w:pP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6"/>
          <w:rFonts w:hint="eastAsia" w:ascii="宋体" w:hAnsi="宋体" w:eastAsia="宋体" w:cs="宋体"/>
          <w:b/>
          <w:color w:val="auto"/>
          <w:sz w:val="21"/>
          <w:szCs w:val="21"/>
        </w:rPr>
        <w:t>四、投标人提交的其他资料（若有）</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1、招标文件要求提交的除</w:t>
      </w:r>
      <w:r>
        <w:rPr>
          <w:rStyle w:val="6"/>
          <w:rFonts w:hint="eastAsia" w:ascii="宋体" w:hAnsi="宋体" w:eastAsia="宋体" w:cs="宋体"/>
          <w:b/>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4"/>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7673B"/>
    <w:rsid w:val="300B375F"/>
    <w:rsid w:val="313000B0"/>
    <w:rsid w:val="393622B8"/>
    <w:rsid w:val="3BBC1496"/>
    <w:rsid w:val="43A7673B"/>
    <w:rsid w:val="698D2126"/>
    <w:rsid w:val="6D535020"/>
    <w:rsid w:val="6EE6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YT-20180417MQZU\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2018-11-26T09:06:00Z</dcterms:created>
  <dc:creator>Administrator</dc:creator>
  <cp:lastModifiedBy>Administrator</cp:lastModifiedBy>
  <dcterms:modified xsi:type="dcterms:W3CDTF">2018-11-28T01:39:50Z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