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AF2144">
      <w:pPr>
        <w:spacing w:before="1400" w:line="500" w:lineRule="exact"/>
        <w:ind w:right="250" w:rightChars="119"/>
        <w:jc w:val="righ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榕环评〔</w:t>
      </w:r>
      <w:r>
        <w:rPr>
          <w:rFonts w:ascii="仿宋_GB2312" w:eastAsia="仿宋_GB2312"/>
          <w:sz w:val="32"/>
          <w:szCs w:val="32"/>
        </w:rPr>
        <w:t>2026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79</w:t>
      </w:r>
      <w:r>
        <w:rPr>
          <w:rFonts w:hint="eastAsia" w:ascii="仿宋_GB2312" w:eastAsia="仿宋_GB2312"/>
          <w:sz w:val="32"/>
          <w:szCs w:val="32"/>
        </w:rPr>
        <w:t>号</w:t>
      </w:r>
    </w:p>
    <w:p w14:paraId="7FCBC9C0">
      <w:pPr>
        <w:autoSpaceDE w:val="0"/>
        <w:autoSpaceDN w:val="0"/>
        <w:adjustRightIn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A6ACF9E">
      <w:pPr>
        <w:tabs>
          <w:tab w:val="left" w:pos="1680"/>
        </w:tabs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福州市生态环境局关于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国道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G104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线福清东瀚至大壤段公路工程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环境影响</w:t>
      </w:r>
    </w:p>
    <w:p w14:paraId="688B654D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报告书的审批意见</w:t>
      </w:r>
    </w:p>
    <w:p w14:paraId="0A2D58F2">
      <w:pPr>
        <w:rPr>
          <w:rFonts w:ascii="仿宋_GB2312" w:eastAsia="仿宋_GB2312"/>
          <w:sz w:val="32"/>
          <w:szCs w:val="32"/>
        </w:rPr>
      </w:pPr>
    </w:p>
    <w:p w14:paraId="7ABF0695"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福清市东瀚镇人民政府：</w:t>
      </w:r>
    </w:p>
    <w:p w14:paraId="1FA3098E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你单位《国道</w:t>
      </w:r>
      <w:r>
        <w:rPr>
          <w:rFonts w:ascii="仿宋_GB2312" w:eastAsia="仿宋_GB2312"/>
          <w:sz w:val="32"/>
          <w:szCs w:val="32"/>
        </w:rPr>
        <w:t>G104</w:t>
      </w:r>
      <w:r>
        <w:rPr>
          <w:rFonts w:hint="eastAsia" w:ascii="仿宋_GB2312" w:eastAsia="仿宋_GB2312"/>
          <w:sz w:val="32"/>
          <w:szCs w:val="32"/>
        </w:rPr>
        <w:t>线福清东瀚至大壤段公路工程</w:t>
      </w:r>
      <w:r>
        <w:rPr>
          <w:rFonts w:hint="eastAsia" w:ascii="仿宋_GB2312" w:eastAsia="仿宋_GB2312"/>
          <w:sz w:val="32"/>
          <w:szCs w:val="32"/>
          <w:lang w:eastAsia="zh-CN"/>
        </w:rPr>
        <w:t>生态</w:t>
      </w:r>
      <w:r>
        <w:rPr>
          <w:rFonts w:hint="eastAsia" w:ascii="仿宋_GB2312" w:eastAsia="仿宋_GB2312"/>
          <w:sz w:val="32"/>
          <w:szCs w:val="32"/>
        </w:rPr>
        <w:t>环境影响报告书（报批本）》</w:t>
      </w:r>
      <w:r>
        <w:rPr>
          <w:rFonts w:ascii="仿宋_GB2312" w:eastAsia="仿宋_GB2312"/>
          <w:sz w:val="32"/>
          <w:szCs w:val="32"/>
        </w:rPr>
        <w:t>(</w:t>
      </w:r>
      <w:r>
        <w:rPr>
          <w:rFonts w:hint="eastAsia" w:ascii="仿宋_GB2312" w:eastAsia="仿宋_GB2312"/>
          <w:sz w:val="32"/>
          <w:szCs w:val="32"/>
        </w:rPr>
        <w:t>以下简称《报告书》</w:t>
      </w:r>
      <w:r>
        <w:rPr>
          <w:rFonts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</w:rPr>
        <w:t>及申请审批的报告</w:t>
      </w:r>
      <w:r>
        <w:rPr>
          <w:rFonts w:hint="eastAsia" w:ascii="仿宋_GB2312" w:eastAsia="仿宋_GB2312"/>
          <w:bCs/>
          <w:sz w:val="32"/>
          <w:szCs w:val="32"/>
        </w:rPr>
        <w:t>收悉</w:t>
      </w:r>
      <w:r>
        <w:rPr>
          <w:rFonts w:hint="eastAsia" w:ascii="仿宋_GB2312" w:eastAsia="仿宋_GB2312"/>
          <w:sz w:val="32"/>
          <w:szCs w:val="32"/>
        </w:rPr>
        <w:t>。经组织技术审查，并征求福州市福清生态环境局意见，现提出审批意见如下：</w:t>
      </w:r>
    </w:p>
    <w:p w14:paraId="2198E93D">
      <w:pPr>
        <w:spacing w:line="540" w:lineRule="exact"/>
        <w:ind w:firstLine="640" w:firstLineChars="200"/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</w:t>
      </w:r>
      <w:r>
        <w:rPr>
          <w:rFonts w:hint="eastAsia" w:ascii="仿宋_GB2312" w:eastAsia="仿宋_GB2312"/>
          <w:sz w:val="32"/>
          <w:szCs w:val="32"/>
        </w:rPr>
        <w:t>国道</w:t>
      </w:r>
      <w:r>
        <w:rPr>
          <w:rFonts w:ascii="仿宋_GB2312" w:eastAsia="仿宋_GB2312"/>
          <w:sz w:val="32"/>
          <w:szCs w:val="32"/>
        </w:rPr>
        <w:t>G104</w:t>
      </w:r>
      <w:r>
        <w:rPr>
          <w:rFonts w:hint="eastAsia" w:ascii="仿宋_GB2312" w:eastAsia="仿宋_GB2312"/>
          <w:sz w:val="32"/>
          <w:szCs w:val="32"/>
        </w:rPr>
        <w:t>线福清东瀚至大壤段公路工程位于</w:t>
      </w:r>
      <w:r>
        <w:rPr>
          <w:rFonts w:hint="eastAsia" w:ascii="仿宋_GB2312" w:eastAsia="仿宋_GB2312"/>
          <w:sz w:val="32"/>
          <w:szCs w:val="32"/>
          <w:lang w:val="zh-CN"/>
        </w:rPr>
        <w:t>福清市东瀚镇</w:t>
      </w:r>
      <w:r>
        <w:rPr>
          <w:rFonts w:hint="eastAsia" w:ascii="仿宋_GB2312" w:eastAsia="仿宋_GB2312"/>
          <w:sz w:val="32"/>
          <w:szCs w:val="32"/>
        </w:rPr>
        <w:t>，项目路线起于福清市东瀚镇东瀚村，顺接现状国道</w:t>
      </w:r>
      <w:r>
        <w:rPr>
          <w:rFonts w:ascii="仿宋_GB2312" w:eastAsia="仿宋_GB2312"/>
          <w:sz w:val="32"/>
          <w:szCs w:val="32"/>
        </w:rPr>
        <w:t>G104</w:t>
      </w:r>
      <w:r>
        <w:rPr>
          <w:rFonts w:hint="eastAsia" w:ascii="仿宋_GB2312" w:eastAsia="仿宋_GB2312"/>
          <w:sz w:val="32"/>
          <w:szCs w:val="32"/>
        </w:rPr>
        <w:t>线北盛至东瀚段（二级公路），沿北坪村东侧布设，经田乾村，终于大壤村，于东瀚互通顺接现状国道</w:t>
      </w:r>
      <w:r>
        <w:rPr>
          <w:rFonts w:ascii="仿宋_GB2312" w:eastAsia="仿宋_GB2312"/>
          <w:sz w:val="32"/>
          <w:szCs w:val="32"/>
        </w:rPr>
        <w:t>G104</w:t>
      </w:r>
      <w:r>
        <w:rPr>
          <w:rFonts w:hint="eastAsia" w:ascii="仿宋_GB2312" w:eastAsia="仿宋_GB2312"/>
          <w:sz w:val="32"/>
          <w:szCs w:val="32"/>
        </w:rPr>
        <w:t>线与渔平高速共线段。路线全长约</w:t>
      </w:r>
      <w:r>
        <w:rPr>
          <w:rFonts w:ascii="仿宋_GB2312" w:eastAsia="仿宋_GB2312"/>
          <w:sz w:val="32"/>
          <w:szCs w:val="32"/>
        </w:rPr>
        <w:t>3.7</w:t>
      </w:r>
      <w:r>
        <w:rPr>
          <w:rFonts w:hint="eastAsia" w:ascii="仿宋_GB2312" w:eastAsia="仿宋_GB2312"/>
          <w:sz w:val="32"/>
          <w:szCs w:val="32"/>
        </w:rPr>
        <w:t>公里。项目全线按一级公路标准建设，双向四车道，路基宽度</w:t>
      </w:r>
      <w:r>
        <w:rPr>
          <w:rFonts w:ascii="仿宋_GB2312" w:eastAsia="仿宋_GB2312"/>
          <w:sz w:val="32"/>
          <w:szCs w:val="32"/>
        </w:rPr>
        <w:t>26</w:t>
      </w:r>
      <w:r>
        <w:rPr>
          <w:rFonts w:hint="eastAsia" w:ascii="仿宋_GB2312" w:eastAsia="仿宋_GB2312"/>
          <w:sz w:val="32"/>
          <w:szCs w:val="32"/>
        </w:rPr>
        <w:t>米。</w:t>
      </w:r>
    </w:p>
    <w:p w14:paraId="7A2F6D98"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根据《报告书》评价结论和福州市环境影响评价技术中心出具的技术评估报告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（编号：</w:t>
      </w:r>
      <w:r>
        <w:rPr>
          <w:rFonts w:ascii="仿宋_GB2312" w:hAnsi="宋体" w:eastAsia="仿宋_GB2312"/>
          <w:color w:val="000000"/>
          <w:sz w:val="32"/>
          <w:szCs w:val="32"/>
        </w:rPr>
        <w:t>2-2026-023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）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hint="eastAsia" w:ascii="仿宋_GB2312" w:hAnsi="宋体" w:eastAsia="仿宋_GB2312" w:cs="Times New Roman"/>
          <w:sz w:val="32"/>
          <w:szCs w:val="32"/>
        </w:rPr>
        <w:t>该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项目建设符合国家产业政策和福州市生态环境分区管控要求</w:t>
      </w:r>
      <w:r>
        <w:rPr>
          <w:rFonts w:hint="eastAsia" w:ascii="仿宋_GB2312" w:hAnsi="宋体" w:eastAsia="仿宋_GB2312" w:cs="Times New Roman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符合《福建省国省道公路网规划（</w:t>
      </w:r>
      <w:r>
        <w:rPr>
          <w:rFonts w:ascii="仿宋_GB2312" w:hAnsi="宋体" w:eastAsia="仿宋_GB2312"/>
          <w:sz w:val="32"/>
          <w:szCs w:val="32"/>
        </w:rPr>
        <w:t>2024-2035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年</w:t>
      </w:r>
      <w:r>
        <w:rPr>
          <w:rFonts w:hint="eastAsia" w:ascii="仿宋_GB2312" w:hAnsi="宋体" w:eastAsia="仿宋_GB2312"/>
          <w:sz w:val="32"/>
          <w:szCs w:val="32"/>
        </w:rPr>
        <w:t>）》</w:t>
      </w:r>
      <w:r>
        <w:rPr>
          <w:rFonts w:hint="eastAsia" w:ascii="仿宋_GB2312" w:hAnsi="宋体" w:eastAsia="仿宋_GB2312" w:cs="Times New Roman"/>
          <w:sz w:val="32"/>
          <w:szCs w:val="32"/>
        </w:rPr>
        <w:t>《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福州市“十四五”综合交通运输发展专项规划</w:t>
      </w:r>
      <w:r>
        <w:rPr>
          <w:rFonts w:hint="eastAsia" w:ascii="仿宋_GB2312" w:hAnsi="宋体" w:eastAsia="仿宋_GB2312" w:cs="Times New Roman"/>
          <w:sz w:val="32"/>
          <w:szCs w:val="32"/>
        </w:rPr>
        <w:t>》</w:t>
      </w:r>
      <w:r>
        <w:rPr>
          <w:rFonts w:hint="eastAsia" w:ascii="仿宋_GB2312" w:hAnsi="宋体" w:eastAsia="仿宋_GB2312"/>
          <w:sz w:val="32"/>
          <w:szCs w:val="32"/>
        </w:rPr>
        <w:t>等相关规划要求。在严格落实《报告书》提出的各项生态保护措施和风险防控措施，加强环境管理的前提下，从环境影响角度分析，项目建设可行。同意项目按照《报告书》中所列的性质、规模、地点、采用的生产工艺和防治污染、防止生态破坏的措施进行建设。</w:t>
      </w:r>
    </w:p>
    <w:p w14:paraId="421B896C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二、项目在设计、建设和运营过程中应认真落实《报告书》提出的各项生态环境保护和环境风险防范措施，并重点做好以下工作：</w:t>
      </w:r>
    </w:p>
    <w:p w14:paraId="03EAC408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生态环境防治</w:t>
      </w:r>
    </w:p>
    <w:p w14:paraId="25D90BFC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落实周边生态保护红线、基本农田等保护措施，严禁破坏周边基本农田及生态保护红线。严格控制施工范围，施工活动应严格限制在经主管部门批准用地范围之内，不得占用生态保护红线，减少对周边生态环境、野生动物栖息、觅食环境的影响。主体工程完工后，及时对施工便道、施工场地、表土堆场和土石方中转场等临时占地进行生态恢复。</w:t>
      </w:r>
    </w:p>
    <w:p w14:paraId="707FC810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水污染防治</w:t>
      </w:r>
    </w:p>
    <w:p w14:paraId="7259235E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严格落实《报告书》提出的施工期和运营期的水污染防治措施，尽量减少对周边水环境的影响。施工期生活污水依托当地污水处理系统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；生产废水经</w:t>
      </w:r>
      <w:r>
        <w:rPr>
          <w:rFonts w:hint="eastAsia" w:ascii="仿宋_GB2312" w:eastAsia="仿宋_GB2312"/>
          <w:sz w:val="32"/>
          <w:szCs w:val="32"/>
        </w:rPr>
        <w:t>隔油沉淀</w:t>
      </w:r>
      <w:r>
        <w:rPr>
          <w:rFonts w:hint="eastAsia" w:ascii="仿宋_GB2312" w:hAnsi="仿宋_GB2312" w:eastAsia="仿宋_GB2312" w:cs="仿宋_GB2312"/>
          <w:sz w:val="32"/>
          <w:szCs w:val="32"/>
        </w:rPr>
        <w:t>处理后回用于</w:t>
      </w:r>
      <w:r>
        <w:rPr>
          <w:rFonts w:hint="eastAsia" w:ascii="仿宋_GB2312" w:eastAsia="仿宋_GB2312"/>
          <w:sz w:val="32"/>
          <w:szCs w:val="32"/>
        </w:rPr>
        <w:t>洒水抑尘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，不外排。</w:t>
      </w:r>
    </w:p>
    <w:p w14:paraId="7DFF78E0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大气污染防治</w:t>
      </w:r>
    </w:p>
    <w:p w14:paraId="629FDAC1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不设置沥青混凝土搅拌站。易扬尘作业应采取湿法，施工期加强场地道路洒水降尘，减少施工及车辆运输扬尘影响。村庄沿线的施工场地四周连续设置封闭的施工围挡，临村庄路段围挡上方设置雾化喷淋设施。加强公路的绿化带建设，减缓运营期汽车尾气对周边大气环境的影响。</w:t>
      </w:r>
    </w:p>
    <w:p w14:paraId="03AAC04A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噪声污染防治</w:t>
      </w:r>
    </w:p>
    <w:p w14:paraId="61284F20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理安排施工时间和布置施工场地，临近敏感建筑物的施工场地设置临时隔声围墙。预测超标的声环境保护目标对应路段采取降噪措施，加强对沿线声环境敏感目标的噪声跟踪监测，并根据监测结果及时完善沿线噪声防治措施；提请并积极配合当地政府做好公路沿线两侧用地的规划控制，避免交通噪声对新增声环境敏感目标的噪声影响。</w:t>
      </w:r>
    </w:p>
    <w:p w14:paraId="4B51CBC4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固废污染防治</w:t>
      </w:r>
    </w:p>
    <w:p w14:paraId="4662C6BB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施工期所产生的建筑垃圾应尽量回收利用，对不可利用部分应收集后运至指定地点进行消纳处置，不得随意处置。弃土方外运至当地政府部门指定的场地进行综合利用。隔油池污泥、废机油委托有相应危险废物处置资质单位处置。施工人员生活垃圾经分类收集后由当地环卫部门统一清运处理。</w:t>
      </w:r>
    </w:p>
    <w:p w14:paraId="790BCE8E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环境风险防范</w:t>
      </w:r>
    </w:p>
    <w:p w14:paraId="22D7634A">
      <w:pPr>
        <w:snapToGrid w:val="0"/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认真落实《报告书》提出的各项环境风险防控措施和设施；运营期应加强危险化学品运输车辆事故环境风险管理。</w:t>
      </w:r>
    </w:p>
    <w:p w14:paraId="65E68597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eastAsia="仿宋_GB2312"/>
          <w:sz w:val="32"/>
          <w:szCs w:val="32"/>
        </w:rPr>
        <w:t>排放标准</w:t>
      </w:r>
    </w:p>
    <w:p w14:paraId="7130A7A8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废气。施工期扬尘执行《大气污染物综合排放标准》（</w:t>
      </w:r>
      <w:r>
        <w:rPr>
          <w:rFonts w:ascii="仿宋_GB2312" w:eastAsia="仿宋_GB2312"/>
          <w:sz w:val="32"/>
          <w:szCs w:val="32"/>
        </w:rPr>
        <w:t>GB16297-1996</w:t>
      </w:r>
      <w:r>
        <w:rPr>
          <w:rFonts w:hint="eastAsia" w:ascii="仿宋_GB2312" w:eastAsia="仿宋_GB2312"/>
          <w:sz w:val="32"/>
          <w:szCs w:val="32"/>
        </w:rPr>
        <w:t>）表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中相应的无组织排放监控浓度限值。</w:t>
      </w:r>
    </w:p>
    <w:p w14:paraId="58B1857B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噪声。施工期场界噪声排放执行《建筑施工噪声排放标准》（</w:t>
      </w:r>
      <w:r>
        <w:rPr>
          <w:rFonts w:ascii="仿宋_GB2312" w:eastAsia="仿宋_GB2312"/>
          <w:sz w:val="32"/>
          <w:szCs w:val="32"/>
        </w:rPr>
        <w:t>GB12523-2025</w:t>
      </w:r>
      <w:r>
        <w:rPr>
          <w:rFonts w:hint="eastAsia" w:ascii="仿宋_GB2312" w:eastAsia="仿宋_GB2312"/>
          <w:sz w:val="32"/>
          <w:szCs w:val="32"/>
        </w:rPr>
        <w:t>）排放限值</w:t>
      </w:r>
      <w:r>
        <w:rPr>
          <w:rFonts w:hint="eastAsia" w:ascii="仿宋_GB2312" w:eastAsia="仿宋_GB2312"/>
          <w:color w:val="auto"/>
          <w:sz w:val="32"/>
          <w:szCs w:val="32"/>
        </w:rPr>
        <w:t>。运营期沿线声环境执行《声环境质量标准》（</w:t>
      </w:r>
      <w:r>
        <w:rPr>
          <w:rFonts w:ascii="仿宋_GB2312" w:eastAsia="仿宋_GB2312"/>
          <w:color w:val="auto"/>
          <w:sz w:val="32"/>
          <w:szCs w:val="32"/>
        </w:rPr>
        <w:t>GB3096-2008</w:t>
      </w:r>
      <w:r>
        <w:rPr>
          <w:rFonts w:hint="eastAsia" w:ascii="仿宋_GB2312" w:eastAsia="仿宋_GB2312"/>
          <w:color w:val="auto"/>
          <w:sz w:val="32"/>
          <w:szCs w:val="32"/>
        </w:rPr>
        <w:t>）中</w:t>
      </w:r>
      <w:r>
        <w:rPr>
          <w:rFonts w:ascii="仿宋_GB2312" w:eastAsia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类标准（临街建筑</w:t>
      </w:r>
      <w:r>
        <w:rPr>
          <w:rFonts w:hint="eastAsia" w:ascii="仿宋_GB2312" w:eastAsia="仿宋_GB2312"/>
          <w:sz w:val="32"/>
          <w:szCs w:val="32"/>
        </w:rPr>
        <w:t>以高于三层楼房以上（含三层）的建筑为主，第一排建筑物面向街道一侧范围内执行</w:t>
      </w:r>
      <w:r>
        <w:rPr>
          <w:rFonts w:ascii="仿宋_GB2312" w:eastAsia="仿宋_GB2312"/>
          <w:sz w:val="32"/>
          <w:szCs w:val="32"/>
        </w:rPr>
        <w:t>4a</w:t>
      </w:r>
      <w:r>
        <w:rPr>
          <w:rFonts w:hint="eastAsia" w:ascii="仿宋_GB2312" w:eastAsia="仿宋_GB2312"/>
          <w:sz w:val="32"/>
          <w:szCs w:val="32"/>
        </w:rPr>
        <w:t>类标准；临街建筑以低于三层楼房（含开阔地）的建筑为主，相邻区域为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类声环境功能区，道路边界外</w:t>
      </w:r>
      <w:r>
        <w:rPr>
          <w:rFonts w:ascii="仿宋_GB2312" w:eastAsia="仿宋_GB2312"/>
          <w:sz w:val="32"/>
          <w:szCs w:val="32"/>
        </w:rPr>
        <w:t>35</w:t>
      </w:r>
      <w:r>
        <w:rPr>
          <w:rFonts w:hint="eastAsia" w:ascii="仿宋_GB2312" w:eastAsia="仿宋_GB2312"/>
          <w:sz w:val="32"/>
          <w:szCs w:val="32"/>
        </w:rPr>
        <w:t>米范围内执行</w:t>
      </w:r>
      <w:r>
        <w:rPr>
          <w:rFonts w:ascii="仿宋_GB2312" w:eastAsia="仿宋_GB2312"/>
          <w:sz w:val="32"/>
          <w:szCs w:val="32"/>
        </w:rPr>
        <w:t>4a</w:t>
      </w:r>
      <w:r>
        <w:rPr>
          <w:rFonts w:hint="eastAsia" w:ascii="仿宋_GB2312" w:eastAsia="仿宋_GB2312"/>
          <w:sz w:val="32"/>
          <w:szCs w:val="32"/>
        </w:rPr>
        <w:t>类标准）。</w:t>
      </w:r>
    </w:p>
    <w:p w14:paraId="0887CC2A"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固废。危险废物贮存执行《危险废物贮存污染控制标准》</w:t>
      </w:r>
      <w:r>
        <w:rPr>
          <w:rFonts w:ascii="仿宋_GB2312" w:eastAsia="仿宋_GB2312"/>
          <w:sz w:val="32"/>
          <w:szCs w:val="32"/>
        </w:rPr>
        <w:t>(GB18597-2023</w:t>
      </w:r>
      <w:r>
        <w:rPr>
          <w:rFonts w:hint="eastAsia" w:ascii="仿宋_GB2312" w:eastAsia="仿宋_GB2312"/>
          <w:sz w:val="32"/>
          <w:szCs w:val="32"/>
        </w:rPr>
        <w:t>）要求，转移管理执行《危险废物转移管理办法》（部令第</w:t>
      </w:r>
      <w:r>
        <w:rPr>
          <w:rFonts w:ascii="仿宋_GB2312" w:eastAsia="仿宋_GB2312"/>
          <w:sz w:val="32"/>
          <w:szCs w:val="32"/>
        </w:rPr>
        <w:t>23</w:t>
      </w:r>
      <w:r>
        <w:rPr>
          <w:rFonts w:hint="eastAsia" w:ascii="仿宋_GB2312" w:eastAsia="仿宋_GB2312"/>
          <w:sz w:val="32"/>
          <w:szCs w:val="32"/>
        </w:rPr>
        <w:t>号）相关规定。</w:t>
      </w:r>
    </w:p>
    <w:p w14:paraId="3E49CD7D">
      <w:pPr>
        <w:spacing w:line="5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四、《报告书》审批后，如建设项目的性质、规模、地点、采用的生产工艺或者防治污染、防止生态破坏的措施发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生重大变动的，应当依法重新报批项目环评。《报告书》自批准之日起满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年，方开工建设的，项目环评应当依法报我局重新审核。</w:t>
      </w:r>
    </w:p>
    <w:p w14:paraId="0B019A24">
      <w:pPr>
        <w:pStyle w:val="7"/>
        <w:kinsoku w:val="0"/>
        <w:overflowPunct w:val="0"/>
        <w:spacing w:line="540" w:lineRule="exact"/>
        <w:ind w:left="0" w:firstLine="640" w:firstLineChars="200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五、项目应加强环境管理，推进落实各项生态环境保护措施。严格执行环境保护“三同时”制度，加强施工期环境管理。竣工后应按规定程序实施竣工环境保护验收。</w:t>
      </w:r>
    </w:p>
    <w:p w14:paraId="7412EC9E">
      <w:pPr>
        <w:spacing w:line="54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六、我局委托福州市生态环境保护综合执法支队开展该项目环保“三同时”监督检查，由福州市福清生态环境局负责该项目日常环保监督管理工作。</w:t>
      </w:r>
    </w:p>
    <w:p w14:paraId="63C953A1">
      <w:pPr>
        <w:spacing w:line="540" w:lineRule="exact"/>
      </w:pPr>
    </w:p>
    <w:p w14:paraId="38BCDF8E">
      <w:pPr>
        <w:pStyle w:val="2"/>
      </w:pPr>
    </w:p>
    <w:p w14:paraId="4A4E7BC6">
      <w:pPr>
        <w:spacing w:line="540" w:lineRule="exact"/>
        <w:ind w:firstLine="640" w:firstLineChars="200"/>
        <w:jc w:val="center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</w:rPr>
        <w:t xml:space="preserve">                         </w:t>
      </w:r>
      <w:r>
        <w:rPr>
          <w:rFonts w:ascii="仿宋_GB2312" w:eastAsia="仿宋_GB2312"/>
          <w:sz w:val="32"/>
          <w:szCs w:val="32"/>
          <w:highlight w:val="none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福州市生态环境局</w:t>
      </w:r>
    </w:p>
    <w:p w14:paraId="23FC4BDA">
      <w:pPr>
        <w:spacing w:line="540" w:lineRule="exact"/>
        <w:ind w:firstLine="640" w:firstLineChars="200"/>
        <w:jc w:val="center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2026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 w14:paraId="79CC0346">
      <w:pPr>
        <w:rPr>
          <w:rFonts w:hint="eastAsia" w:ascii="仿宋_GB2312" w:eastAsia="仿宋_GB2312"/>
          <w:sz w:val="32"/>
          <w:szCs w:val="32"/>
          <w:highlight w:val="none"/>
        </w:rPr>
      </w:pPr>
    </w:p>
    <w:p w14:paraId="5C05FE13">
      <w:pPr>
        <w:pStyle w:val="2"/>
      </w:pPr>
    </w:p>
    <w:tbl>
      <w:tblPr>
        <w:tblStyle w:val="12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780"/>
        <w:gridCol w:w="3675"/>
      </w:tblGrid>
      <w:tr w14:paraId="47C3E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14:paraId="48AF7223">
            <w:pPr>
              <w:tabs>
                <w:tab w:val="left" w:pos="3885"/>
              </w:tabs>
              <w:spacing w:line="500" w:lineRule="exact"/>
              <w:ind w:firstLine="179" w:firstLineChars="64"/>
              <w:rPr>
                <w:rFonts w:ascii="仿宋_GB2312"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抄送：</w:t>
            </w:r>
          </w:p>
        </w:tc>
        <w:tc>
          <w:tcPr>
            <w:tcW w:w="7455" w:type="dxa"/>
            <w:gridSpan w:val="2"/>
            <w:tcBorders>
              <w:left w:val="nil"/>
              <w:right w:val="nil"/>
            </w:tcBorders>
            <w:vAlign w:val="center"/>
          </w:tcPr>
          <w:p w14:paraId="5A8D9476">
            <w:pPr>
              <w:tabs>
                <w:tab w:val="left" w:pos="3885"/>
              </w:tabs>
              <w:spacing w:line="500" w:lineRule="exact"/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福州市生态环境保护综合执法支队，福州市环境影响评价技术中心，福州市福清生态环境局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eastAsia="zh-CN"/>
              </w:rPr>
              <w:t>，福建环诺科技有限公司。</w:t>
            </w:r>
          </w:p>
        </w:tc>
      </w:tr>
      <w:tr w14:paraId="30FB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5040" w:type="dxa"/>
            <w:gridSpan w:val="2"/>
            <w:tcBorders>
              <w:left w:val="nil"/>
              <w:right w:val="nil"/>
            </w:tcBorders>
            <w:vAlign w:val="center"/>
          </w:tcPr>
          <w:p w14:paraId="2E513246">
            <w:pPr>
              <w:tabs>
                <w:tab w:val="left" w:pos="3885"/>
              </w:tabs>
              <w:spacing w:line="500" w:lineRule="exact"/>
              <w:ind w:firstLine="179" w:firstLineChars="64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福州市生态环境局</w:t>
            </w:r>
          </w:p>
        </w:tc>
        <w:tc>
          <w:tcPr>
            <w:tcW w:w="3675" w:type="dxa"/>
            <w:tcBorders>
              <w:left w:val="nil"/>
              <w:right w:val="nil"/>
            </w:tcBorders>
            <w:vAlign w:val="center"/>
          </w:tcPr>
          <w:p w14:paraId="5633D5EC">
            <w:pPr>
              <w:tabs>
                <w:tab w:val="left" w:pos="3882"/>
                <w:tab w:val="left" w:pos="3987"/>
              </w:tabs>
              <w:wordWrap w:val="0"/>
              <w:spacing w:line="500" w:lineRule="exact"/>
              <w:ind w:right="311" w:rightChars="148"/>
              <w:jc w:val="right"/>
              <w:rPr>
                <w:rFonts w:eastAsia="仿宋_GB2312"/>
                <w:sz w:val="28"/>
                <w:szCs w:val="28"/>
                <w:highlight w:val="none"/>
              </w:rPr>
            </w:pPr>
            <w:r>
              <w:rPr>
                <w:rFonts w:ascii="仿宋_GB2312" w:eastAsia="仿宋_GB2312"/>
                <w:sz w:val="28"/>
                <w:szCs w:val="28"/>
                <w:highlight w:val="none"/>
              </w:rPr>
              <w:t>2026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  <w:highlight w:val="none"/>
              </w:rPr>
              <w:t>日印发</w:t>
            </w:r>
          </w:p>
        </w:tc>
      </w:tr>
    </w:tbl>
    <w:p w14:paraId="7A60BF49">
      <w:pPr>
        <w:pStyle w:val="2"/>
        <w:ind w:left="0" w:leftChars="0" w:firstLine="0"/>
        <w:rPr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24FC2">
    <w:pPr>
      <w:pStyle w:val="7"/>
      <w:kinsoku w:val="0"/>
      <w:overflowPunct w:val="0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3734435</wp:posOffset>
              </wp:positionH>
              <wp:positionV relativeFrom="page">
                <wp:posOffset>9905365</wp:posOffset>
              </wp:positionV>
              <wp:extent cx="161925" cy="23177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A4BAD37">
                          <w:pPr>
                            <w:pStyle w:val="7"/>
                            <w:kinsoku w:val="0"/>
                            <w:overflowPunct w:val="0"/>
                            <w:ind w:left="102"/>
                            <w:rPr>
                              <w:rFonts w:ascii="Times New Roman" w:hAnsi="Times New Roman"/>
                              <w:color w:val="000000"/>
                              <w:sz w:val="27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110C1C"/>
                              <w:w w:val="83"/>
                              <w:sz w:val="27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110C1C"/>
                              <w:w w:val="83"/>
                              <w:sz w:val="27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110C1C"/>
                              <w:w w:val="83"/>
                              <w:sz w:val="27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110C1C"/>
                              <w:w w:val="83"/>
                              <w:sz w:val="27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color w:val="110C1C"/>
                              <w:w w:val="83"/>
                              <w:sz w:val="27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4.05pt;margin-top:779.95pt;height:18.25pt;width:12.75pt;mso-position-horizontal-relative:page;mso-position-vertical-relative:page;z-index:-251657216;mso-width-relative:page;mso-height-relative:page;" filled="f" stroked="f" coordsize="21600,21600" o:gfxdata="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VJH3P2gAAAA0BAAAPAAAAAAAAAAEAIAAAACIAAABkcnMvZG93bnJldi54&#10;bWxQSwECFAAUAAAACACHTuJAa1rBn78BAAB/AwAADgAAAAAAAAABACAAAAAp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A4BAD37">
                    <w:pPr>
                      <w:pStyle w:val="7"/>
                      <w:kinsoku w:val="0"/>
                      <w:overflowPunct w:val="0"/>
                      <w:ind w:left="102"/>
                      <w:rPr>
                        <w:rFonts w:ascii="Times New Roman" w:hAnsi="Times New Roman"/>
                        <w:color w:val="000000"/>
                        <w:sz w:val="27"/>
                      </w:rPr>
                    </w:pPr>
                    <w:r>
                      <w:rPr>
                        <w:rFonts w:ascii="Times New Roman" w:hAnsi="Times New Roman"/>
                        <w:color w:val="110C1C"/>
                        <w:w w:val="83"/>
                        <w:sz w:val="27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110C1C"/>
                        <w:w w:val="83"/>
                        <w:sz w:val="27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110C1C"/>
                        <w:w w:val="83"/>
                        <w:sz w:val="27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110C1C"/>
                        <w:w w:val="83"/>
                        <w:sz w:val="27"/>
                      </w:rPr>
                      <w:t>4</w:t>
                    </w:r>
                    <w:r>
                      <w:rPr>
                        <w:rFonts w:ascii="Times New Roman" w:hAnsi="Times New Roman"/>
                        <w:color w:val="110C1C"/>
                        <w:w w:val="83"/>
                        <w:sz w:val="2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lNjRjMzA0YzRhNWYwMzVmNzhkYzVmMzFiYzkxZWMifQ=="/>
  </w:docVars>
  <w:rsids>
    <w:rsidRoot w:val="00172A27"/>
    <w:rsid w:val="000260A5"/>
    <w:rsid w:val="000C16DA"/>
    <w:rsid w:val="00172A27"/>
    <w:rsid w:val="0033266C"/>
    <w:rsid w:val="00405784"/>
    <w:rsid w:val="004A76DF"/>
    <w:rsid w:val="00614D5D"/>
    <w:rsid w:val="00737702"/>
    <w:rsid w:val="00823299"/>
    <w:rsid w:val="008602C5"/>
    <w:rsid w:val="008A2E07"/>
    <w:rsid w:val="008F3857"/>
    <w:rsid w:val="009414B3"/>
    <w:rsid w:val="00990158"/>
    <w:rsid w:val="009E6798"/>
    <w:rsid w:val="00A1182A"/>
    <w:rsid w:val="00AB2D1C"/>
    <w:rsid w:val="00C01E65"/>
    <w:rsid w:val="00C50628"/>
    <w:rsid w:val="00D91D34"/>
    <w:rsid w:val="00E075BC"/>
    <w:rsid w:val="00E11098"/>
    <w:rsid w:val="00E45A2E"/>
    <w:rsid w:val="00F37E83"/>
    <w:rsid w:val="00FB2FD2"/>
    <w:rsid w:val="00FF7216"/>
    <w:rsid w:val="0127208E"/>
    <w:rsid w:val="01532550"/>
    <w:rsid w:val="01613E24"/>
    <w:rsid w:val="016B6192"/>
    <w:rsid w:val="018E183C"/>
    <w:rsid w:val="0200793B"/>
    <w:rsid w:val="03200761"/>
    <w:rsid w:val="046161A6"/>
    <w:rsid w:val="04F76DD4"/>
    <w:rsid w:val="056C5A14"/>
    <w:rsid w:val="05E03587"/>
    <w:rsid w:val="065749D9"/>
    <w:rsid w:val="07255E89"/>
    <w:rsid w:val="0758060D"/>
    <w:rsid w:val="07B23FB7"/>
    <w:rsid w:val="07BF4591"/>
    <w:rsid w:val="07C96FEC"/>
    <w:rsid w:val="07D42B19"/>
    <w:rsid w:val="07EB6CCC"/>
    <w:rsid w:val="08436CF1"/>
    <w:rsid w:val="08B66203"/>
    <w:rsid w:val="08D819CB"/>
    <w:rsid w:val="09286D3F"/>
    <w:rsid w:val="094B0249"/>
    <w:rsid w:val="0A765F0A"/>
    <w:rsid w:val="0A9F4A0F"/>
    <w:rsid w:val="0B341D58"/>
    <w:rsid w:val="0C1618B2"/>
    <w:rsid w:val="0C455357"/>
    <w:rsid w:val="0D033654"/>
    <w:rsid w:val="0D9878D6"/>
    <w:rsid w:val="0E1C0247"/>
    <w:rsid w:val="0E633519"/>
    <w:rsid w:val="0E6C1F07"/>
    <w:rsid w:val="0EAC0099"/>
    <w:rsid w:val="0EFF0B63"/>
    <w:rsid w:val="0F794FF3"/>
    <w:rsid w:val="106D0892"/>
    <w:rsid w:val="111B1AB3"/>
    <w:rsid w:val="11CA7114"/>
    <w:rsid w:val="11F1452D"/>
    <w:rsid w:val="12C6210F"/>
    <w:rsid w:val="131C58E3"/>
    <w:rsid w:val="13293365"/>
    <w:rsid w:val="13657256"/>
    <w:rsid w:val="13987AA1"/>
    <w:rsid w:val="13B16CE7"/>
    <w:rsid w:val="13D8705C"/>
    <w:rsid w:val="145A7C81"/>
    <w:rsid w:val="14934F22"/>
    <w:rsid w:val="14A05934"/>
    <w:rsid w:val="15D02A44"/>
    <w:rsid w:val="16391213"/>
    <w:rsid w:val="16B05B1D"/>
    <w:rsid w:val="173B0044"/>
    <w:rsid w:val="173E19B4"/>
    <w:rsid w:val="17D023BA"/>
    <w:rsid w:val="182E78A7"/>
    <w:rsid w:val="18452800"/>
    <w:rsid w:val="18582A40"/>
    <w:rsid w:val="186621C7"/>
    <w:rsid w:val="19257F5C"/>
    <w:rsid w:val="19635B35"/>
    <w:rsid w:val="1998742F"/>
    <w:rsid w:val="1A633C55"/>
    <w:rsid w:val="1A97397D"/>
    <w:rsid w:val="1AB67908"/>
    <w:rsid w:val="1B214753"/>
    <w:rsid w:val="1B746016"/>
    <w:rsid w:val="1B851382"/>
    <w:rsid w:val="1B9B45FB"/>
    <w:rsid w:val="1BAD4238"/>
    <w:rsid w:val="1C19367C"/>
    <w:rsid w:val="1C3E5F71"/>
    <w:rsid w:val="1CAD391A"/>
    <w:rsid w:val="1CD64CCD"/>
    <w:rsid w:val="1E796669"/>
    <w:rsid w:val="20A554BB"/>
    <w:rsid w:val="20D62599"/>
    <w:rsid w:val="21157BA8"/>
    <w:rsid w:val="217575A6"/>
    <w:rsid w:val="21DF4B1F"/>
    <w:rsid w:val="22827E15"/>
    <w:rsid w:val="23520571"/>
    <w:rsid w:val="239C5C07"/>
    <w:rsid w:val="24766DB1"/>
    <w:rsid w:val="24CE65DA"/>
    <w:rsid w:val="25BF3AE5"/>
    <w:rsid w:val="260152B5"/>
    <w:rsid w:val="267F3782"/>
    <w:rsid w:val="27217957"/>
    <w:rsid w:val="282E6701"/>
    <w:rsid w:val="2858552C"/>
    <w:rsid w:val="28BF37D3"/>
    <w:rsid w:val="28E54EC6"/>
    <w:rsid w:val="29C55FF7"/>
    <w:rsid w:val="29F9114E"/>
    <w:rsid w:val="2A206818"/>
    <w:rsid w:val="2AE7797C"/>
    <w:rsid w:val="2B8D191A"/>
    <w:rsid w:val="2BBD3DD5"/>
    <w:rsid w:val="2DA3365C"/>
    <w:rsid w:val="2E1662C5"/>
    <w:rsid w:val="2ECD07E4"/>
    <w:rsid w:val="2F1F4444"/>
    <w:rsid w:val="2F803CE6"/>
    <w:rsid w:val="30E20088"/>
    <w:rsid w:val="32924A39"/>
    <w:rsid w:val="32D41AAF"/>
    <w:rsid w:val="32F978C1"/>
    <w:rsid w:val="33022C64"/>
    <w:rsid w:val="33E4368B"/>
    <w:rsid w:val="348F0812"/>
    <w:rsid w:val="35B3586F"/>
    <w:rsid w:val="3709037B"/>
    <w:rsid w:val="37785CB9"/>
    <w:rsid w:val="39191685"/>
    <w:rsid w:val="39577736"/>
    <w:rsid w:val="3979408E"/>
    <w:rsid w:val="3A5E4CE6"/>
    <w:rsid w:val="3AB53D82"/>
    <w:rsid w:val="3AE71EDA"/>
    <w:rsid w:val="3B225C51"/>
    <w:rsid w:val="3B9D79CE"/>
    <w:rsid w:val="3C256A70"/>
    <w:rsid w:val="3DA121AA"/>
    <w:rsid w:val="3F2D4BEC"/>
    <w:rsid w:val="3F2E0DDE"/>
    <w:rsid w:val="3F543326"/>
    <w:rsid w:val="3F5461E8"/>
    <w:rsid w:val="40B21289"/>
    <w:rsid w:val="40C41F79"/>
    <w:rsid w:val="4104412C"/>
    <w:rsid w:val="41E2276B"/>
    <w:rsid w:val="42236193"/>
    <w:rsid w:val="425E25A2"/>
    <w:rsid w:val="429E6DF7"/>
    <w:rsid w:val="4446233C"/>
    <w:rsid w:val="44C12634"/>
    <w:rsid w:val="45A858ED"/>
    <w:rsid w:val="45C37A19"/>
    <w:rsid w:val="463851EF"/>
    <w:rsid w:val="46A152B3"/>
    <w:rsid w:val="472E7542"/>
    <w:rsid w:val="49971E3D"/>
    <w:rsid w:val="4AF03E8E"/>
    <w:rsid w:val="4B140BCA"/>
    <w:rsid w:val="4B211B37"/>
    <w:rsid w:val="4B7971A0"/>
    <w:rsid w:val="4B9562DD"/>
    <w:rsid w:val="4BF6343A"/>
    <w:rsid w:val="4C413E2E"/>
    <w:rsid w:val="4D611F15"/>
    <w:rsid w:val="4DAE5A6A"/>
    <w:rsid w:val="4ED5210D"/>
    <w:rsid w:val="4EF12BF7"/>
    <w:rsid w:val="4F8951F0"/>
    <w:rsid w:val="4FF018B7"/>
    <w:rsid w:val="504A46EB"/>
    <w:rsid w:val="508075D8"/>
    <w:rsid w:val="50884351"/>
    <w:rsid w:val="50CA13DC"/>
    <w:rsid w:val="5115777F"/>
    <w:rsid w:val="517C6C8E"/>
    <w:rsid w:val="51BB42C6"/>
    <w:rsid w:val="52914930"/>
    <w:rsid w:val="52C13875"/>
    <w:rsid w:val="52D71FC3"/>
    <w:rsid w:val="52E82160"/>
    <w:rsid w:val="531050AB"/>
    <w:rsid w:val="54F7397C"/>
    <w:rsid w:val="55834839"/>
    <w:rsid w:val="55AE0DDE"/>
    <w:rsid w:val="56D71B8E"/>
    <w:rsid w:val="571B2E66"/>
    <w:rsid w:val="576466C7"/>
    <w:rsid w:val="57924C73"/>
    <w:rsid w:val="57A91796"/>
    <w:rsid w:val="57D305A7"/>
    <w:rsid w:val="57D84410"/>
    <w:rsid w:val="58134F62"/>
    <w:rsid w:val="58201313"/>
    <w:rsid w:val="592E7D28"/>
    <w:rsid w:val="59542F6A"/>
    <w:rsid w:val="59957A23"/>
    <w:rsid w:val="59B23E12"/>
    <w:rsid w:val="5A9C5772"/>
    <w:rsid w:val="5B4B219F"/>
    <w:rsid w:val="5B7200D7"/>
    <w:rsid w:val="5C3E620B"/>
    <w:rsid w:val="5C4B1E34"/>
    <w:rsid w:val="5D5B20AB"/>
    <w:rsid w:val="5D8B1FBD"/>
    <w:rsid w:val="5E1C6994"/>
    <w:rsid w:val="5E253139"/>
    <w:rsid w:val="5FCE6079"/>
    <w:rsid w:val="5FF45D87"/>
    <w:rsid w:val="60122904"/>
    <w:rsid w:val="609B2D0A"/>
    <w:rsid w:val="61412C54"/>
    <w:rsid w:val="621D0684"/>
    <w:rsid w:val="623A3AC6"/>
    <w:rsid w:val="62FB7EA7"/>
    <w:rsid w:val="630C7ED7"/>
    <w:rsid w:val="63EF49BB"/>
    <w:rsid w:val="644B4371"/>
    <w:rsid w:val="652F1BCA"/>
    <w:rsid w:val="654C34D7"/>
    <w:rsid w:val="658402DE"/>
    <w:rsid w:val="65A0073D"/>
    <w:rsid w:val="670F638F"/>
    <w:rsid w:val="67E4235D"/>
    <w:rsid w:val="6841330B"/>
    <w:rsid w:val="68CD0275"/>
    <w:rsid w:val="697A37B7"/>
    <w:rsid w:val="699D54FB"/>
    <w:rsid w:val="6A0E1913"/>
    <w:rsid w:val="6B460C38"/>
    <w:rsid w:val="6B903660"/>
    <w:rsid w:val="6BFF19F4"/>
    <w:rsid w:val="6CC72A54"/>
    <w:rsid w:val="6CD209D6"/>
    <w:rsid w:val="6DD32D72"/>
    <w:rsid w:val="6F5E7FA2"/>
    <w:rsid w:val="6FB4486A"/>
    <w:rsid w:val="6FC638A4"/>
    <w:rsid w:val="718D5646"/>
    <w:rsid w:val="71BD383E"/>
    <w:rsid w:val="73FB269B"/>
    <w:rsid w:val="74033B82"/>
    <w:rsid w:val="74DA48CB"/>
    <w:rsid w:val="75141948"/>
    <w:rsid w:val="78B06911"/>
    <w:rsid w:val="79091603"/>
    <w:rsid w:val="792E51E6"/>
    <w:rsid w:val="79A16564"/>
    <w:rsid w:val="7A2D2E1A"/>
    <w:rsid w:val="7A422A52"/>
    <w:rsid w:val="7A4317E4"/>
    <w:rsid w:val="7A5E3AC4"/>
    <w:rsid w:val="7B1046D5"/>
    <w:rsid w:val="7B32572E"/>
    <w:rsid w:val="7B4A5F29"/>
    <w:rsid w:val="7C1B1E9B"/>
    <w:rsid w:val="7CAD0E3C"/>
    <w:rsid w:val="7CE24C65"/>
    <w:rsid w:val="7D007C35"/>
    <w:rsid w:val="7D9C314C"/>
    <w:rsid w:val="7E163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qFormat="1" w:unhideWhenUsed="0" w:uiPriority="9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nhideWhenUsed="0" w:uiPriority="0" w:semiHidden="0" w:name="Table Simple 1" w:locked="1"/>
    <w:lsdException w:unhideWhenUsed="0" w:uiPriority="0" w:semiHidden="0" w:name="Table Simple 2" w:locked="1"/>
    <w:lsdException w:unhideWhenUsed="0" w:uiPriority="0" w:semiHidden="0" w:name="Table Simple 3" w:locked="1"/>
    <w:lsdException w:unhideWhenUsed="0" w:uiPriority="0" w:semiHidden="0" w:name="Table Classic 1" w:locked="1"/>
    <w:lsdException w:unhideWhenUsed="0" w:uiPriority="0" w:semiHidden="0" w:name="Table Classic 2" w:locked="1"/>
    <w:lsdException w:unhideWhenUsed="0" w:uiPriority="0" w:semiHidden="0" w:name="Table Classic 3" w:locked="1"/>
    <w:lsdException w:unhideWhenUsed="0" w:uiPriority="0" w:semiHidden="0" w:name="Table Classic 4" w:locked="1"/>
    <w:lsdException w:unhideWhenUsed="0" w:uiPriority="0" w:semiHidden="0" w:name="Table Colorful 1" w:locked="1"/>
    <w:lsdException w:unhideWhenUsed="0" w:uiPriority="0" w:semiHidden="0" w:name="Table Colorful 2" w:locked="1"/>
    <w:lsdException w:unhideWhenUsed="0" w:uiPriority="0" w:semiHidden="0" w:name="Table Colorful 3" w:locked="1"/>
    <w:lsdException w:unhideWhenUsed="0" w:uiPriority="0" w:semiHidden="0" w:name="Table Columns 1" w:locked="1"/>
    <w:lsdException w:unhideWhenUsed="0" w:uiPriority="0" w:semiHidden="0" w:name="Table Columns 2" w:locked="1"/>
    <w:lsdException w:unhideWhenUsed="0" w:uiPriority="0" w:semiHidden="0" w:name="Table Columns 3" w:locked="1"/>
    <w:lsdException w:unhideWhenUsed="0" w:uiPriority="0" w:semiHidden="0" w:name="Table Columns 4" w:locked="1"/>
    <w:lsdException w:unhideWhenUsed="0" w:uiPriority="0" w:semiHidden="0" w:name="Table Columns 5" w:locked="1"/>
    <w:lsdException w:unhideWhenUsed="0" w:uiPriority="0" w:semiHidden="0" w:name="Table Grid 1" w:locked="1"/>
    <w:lsdException w:unhideWhenUsed="0" w:uiPriority="0" w:semiHidden="0" w:name="Table Grid 2" w:locked="1"/>
    <w:lsdException w:unhideWhenUsed="0" w:uiPriority="0" w:semiHidden="0" w:name="Table Grid 3" w:locked="1"/>
    <w:lsdException w:unhideWhenUsed="0" w:uiPriority="0" w:semiHidden="0" w:name="Table Grid 4" w:locked="1"/>
    <w:lsdException w:unhideWhenUsed="0" w:uiPriority="0" w:semiHidden="0" w:name="Table Grid 5" w:locked="1"/>
    <w:lsdException w:unhideWhenUsed="0" w:uiPriority="0" w:semiHidden="0" w:name="Table Grid 6" w:locked="1"/>
    <w:lsdException w:unhideWhenUsed="0" w:uiPriority="0" w:semiHidden="0" w:name="Table Grid 7" w:locked="1"/>
    <w:lsdException w:unhideWhenUsed="0" w:uiPriority="0" w:semiHidden="0" w:name="Table Grid 8" w:locked="1"/>
    <w:lsdException w:unhideWhenUsed="0" w:uiPriority="0" w:semiHidden="0" w:name="Table List 1" w:locked="1"/>
    <w:lsdException w:unhideWhenUsed="0" w:uiPriority="0" w:semiHidden="0" w:name="Table List 2" w:locked="1"/>
    <w:lsdException w:unhideWhenUsed="0" w:uiPriority="0" w:semiHidden="0" w:name="Table List 3" w:locked="1"/>
    <w:lsdException w:unhideWhenUsed="0" w:uiPriority="0" w:semiHidden="0" w:name="Table List 4" w:locked="1"/>
    <w:lsdException w:unhideWhenUsed="0" w:uiPriority="0" w:semiHidden="0" w:name="Table List 5" w:locked="1"/>
    <w:lsdException w:unhideWhenUsed="0" w:uiPriority="0" w:semiHidden="0" w:name="Table List 6" w:locked="1"/>
    <w:lsdException w:unhideWhenUsed="0" w:uiPriority="0" w:semiHidden="0" w:name="Table List 7" w:locked="1"/>
    <w:lsdException w:unhideWhenUsed="0" w:uiPriority="0" w:semiHidden="0" w:name="Table List 8" w:locked="1"/>
    <w:lsdException w:unhideWhenUsed="0" w:uiPriority="0" w:semiHidden="0" w:name="Table 3D effects 1" w:locked="1"/>
    <w:lsdException w:unhideWhenUsed="0" w:uiPriority="0" w:semiHidden="0" w:name="Table 3D effects 2" w:locked="1"/>
    <w:lsdException w:unhideWhenUsed="0" w:uiPriority="0" w:semiHidden="0" w:name="Table 3D effects 3" w:locked="1"/>
    <w:lsdException w:unhideWhenUsed="0" w:uiPriority="0" w:semiHidden="0" w:name="Table Contemporary" w:locked="1"/>
    <w:lsdException w:unhideWhenUsed="0" w:uiPriority="0" w:semiHidden="0" w:name="Table Elegant" w:locked="1"/>
    <w:lsdException w:unhideWhenUsed="0" w:uiPriority="0" w:semiHidden="0" w:name="Table Professional" w:locked="1"/>
    <w:lsdException w:unhideWhenUsed="0" w:uiPriority="0" w:semiHidden="0" w:name="Table Subtle 1" w:locked="1"/>
    <w:lsdException w:unhideWhenUsed="0" w:uiPriority="0" w:semiHidden="0" w:name="Table Subtle 2" w:locked="1"/>
    <w:lsdException w:unhideWhenUsed="0" w:uiPriority="0" w:semiHidden="0" w:name="Table Web 1" w:locked="1"/>
    <w:lsdException w:unhideWhenUsed="0" w:uiPriority="0" w:semiHidden="0" w:name="Table Web 2" w:locked="1"/>
    <w:lsdException w:unhideWhenUsed="0" w:uiPriority="0" w:semiHidden="0" w:name="Table Web 3" w:locked="1"/>
    <w:lsdException w:uiPriority="99" w:name="Balloon Text"/>
    <w:lsdException w:unhideWhenUsed="0" w:uiPriority="59" w:semiHidden="0" w:name="Table Grid"/>
    <w:lsdException w:unhideWhenUsed="0" w:uiPriority="0" w:semiHidden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link w:val="17"/>
    <w:qFormat/>
    <w:uiPriority w:val="99"/>
    <w:pPr>
      <w:spacing w:beforeAutospacing="1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paragraph" w:styleId="6">
    <w:name w:val="heading 3"/>
    <w:basedOn w:val="1"/>
    <w:next w:val="1"/>
    <w:link w:val="18"/>
    <w:qFormat/>
    <w:uiPriority w:val="99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13">
    <w:name w:val="Default Paragraph Font"/>
    <w:semiHidden/>
    <w:qFormat/>
    <w:uiPriority w:val="99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link w:val="20"/>
    <w:qFormat/>
    <w:uiPriority w:val="99"/>
    <w:pPr>
      <w:ind w:firstLine="420"/>
    </w:pPr>
  </w:style>
  <w:style w:type="paragraph" w:styleId="3">
    <w:name w:val="Body Text Indent"/>
    <w:basedOn w:val="1"/>
    <w:next w:val="4"/>
    <w:link w:val="19"/>
    <w:qFormat/>
    <w:uiPriority w:val="99"/>
    <w:pPr>
      <w:spacing w:after="120"/>
      <w:ind w:left="420" w:leftChars="200"/>
    </w:pPr>
  </w:style>
  <w:style w:type="paragraph" w:customStyle="1" w:styleId="4">
    <w:name w:val="样式 正文文本缩进 + 宋体 小四 居中 行距: 固定值 23 磅1"/>
    <w:basedOn w:val="1"/>
    <w:qFormat/>
    <w:uiPriority w:val="99"/>
    <w:pPr>
      <w:spacing w:line="460" w:lineRule="exact"/>
      <w:ind w:left="-181" w:leftChars="-86"/>
    </w:pPr>
    <w:rPr>
      <w:rFonts w:ascii="宋体" w:hAnsi="宋体" w:cs="宋体"/>
      <w:color w:val="000000"/>
    </w:rPr>
  </w:style>
  <w:style w:type="paragraph" w:styleId="7">
    <w:name w:val="Body Text"/>
    <w:basedOn w:val="1"/>
    <w:link w:val="21"/>
    <w:qFormat/>
    <w:uiPriority w:val="99"/>
    <w:pPr>
      <w:ind w:left="119"/>
    </w:pPr>
    <w:rPr>
      <w:rFonts w:ascii="宋体" w:hAnsi="宋体"/>
      <w:sz w:val="30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4"/>
    <w:basedOn w:val="1"/>
    <w:next w:val="1"/>
    <w:qFormat/>
    <w:uiPriority w:val="99"/>
    <w:pPr>
      <w:ind w:left="1260" w:leftChars="600"/>
    </w:pPr>
  </w:style>
  <w:style w:type="paragraph" w:styleId="11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4">
    <w:name w:val="FollowedHyperlink"/>
    <w:basedOn w:val="13"/>
    <w:qFormat/>
    <w:uiPriority w:val="99"/>
    <w:rPr>
      <w:rFonts w:cs="Times New Roman"/>
      <w:color w:val="333333"/>
      <w:u w:val="none"/>
    </w:rPr>
  </w:style>
  <w:style w:type="character" w:styleId="15">
    <w:name w:val="Emphasis"/>
    <w:basedOn w:val="13"/>
    <w:qFormat/>
    <w:uiPriority w:val="99"/>
    <w:rPr>
      <w:rFonts w:cs="Times New Roman"/>
    </w:rPr>
  </w:style>
  <w:style w:type="character" w:styleId="16">
    <w:name w:val="Hyperlink"/>
    <w:basedOn w:val="13"/>
    <w:qFormat/>
    <w:uiPriority w:val="99"/>
    <w:rPr>
      <w:rFonts w:cs="Times New Roman"/>
      <w:color w:val="333333"/>
      <w:u w:val="none"/>
    </w:rPr>
  </w:style>
  <w:style w:type="character" w:customStyle="1" w:styleId="17">
    <w:name w:val="Heading 2 Char"/>
    <w:basedOn w:val="13"/>
    <w:link w:val="5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Heading 3 Char"/>
    <w:basedOn w:val="13"/>
    <w:link w:val="6"/>
    <w:semiHidden/>
    <w:qFormat/>
    <w:uiPriority w:val="9"/>
    <w:rPr>
      <w:rFonts w:ascii="Calibri" w:hAnsi="Calibri"/>
      <w:b/>
      <w:bCs/>
      <w:sz w:val="32"/>
      <w:szCs w:val="32"/>
    </w:rPr>
  </w:style>
  <w:style w:type="character" w:customStyle="1" w:styleId="19">
    <w:name w:val="Body Text Indent Char"/>
    <w:basedOn w:val="13"/>
    <w:link w:val="3"/>
    <w:semiHidden/>
    <w:qFormat/>
    <w:uiPriority w:val="99"/>
    <w:rPr>
      <w:rFonts w:ascii="Calibri" w:hAnsi="Calibri"/>
      <w:szCs w:val="24"/>
    </w:rPr>
  </w:style>
  <w:style w:type="character" w:customStyle="1" w:styleId="20">
    <w:name w:val="Body Text First Indent 2 Char"/>
    <w:basedOn w:val="19"/>
    <w:link w:val="2"/>
    <w:semiHidden/>
    <w:qFormat/>
    <w:uiPriority w:val="99"/>
  </w:style>
  <w:style w:type="character" w:customStyle="1" w:styleId="21">
    <w:name w:val="Body Text Char"/>
    <w:basedOn w:val="13"/>
    <w:link w:val="7"/>
    <w:semiHidden/>
    <w:qFormat/>
    <w:uiPriority w:val="99"/>
    <w:rPr>
      <w:rFonts w:ascii="Calibri" w:hAnsi="Calibri"/>
      <w:szCs w:val="24"/>
    </w:rPr>
  </w:style>
  <w:style w:type="character" w:customStyle="1" w:styleId="22">
    <w:name w:val="Footer Char"/>
    <w:basedOn w:val="13"/>
    <w:link w:val="8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Header Char"/>
    <w:basedOn w:val="13"/>
    <w:link w:val="9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评估内容"/>
    <w:basedOn w:val="1"/>
    <w:qFormat/>
    <w:uiPriority w:val="99"/>
    <w:pPr>
      <w:adjustRightInd w:val="0"/>
      <w:snapToGrid w:val="0"/>
      <w:spacing w:line="360" w:lineRule="auto"/>
      <w:ind w:firstLine="192" w:firstLineChars="192"/>
    </w:pPr>
    <w:rPr>
      <w:rFonts w:ascii="Times New Roman" w:hAnsi="Times New Roman"/>
      <w:color w:val="FF0000"/>
      <w:kern w:val="21"/>
      <w:sz w:val="24"/>
    </w:rPr>
  </w:style>
  <w:style w:type="character" w:customStyle="1" w:styleId="25">
    <w:name w:val="font11"/>
    <w:basedOn w:val="13"/>
    <w:qFormat/>
    <w:uiPriority w:val="99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4</Pages>
  <Words>1831</Words>
  <Characters>1927</Characters>
  <Lines>0</Lines>
  <Paragraphs>0</Paragraphs>
  <TotalTime>2</TotalTime>
  <ScaleCrop>false</ScaleCrop>
  <LinksUpToDate>false</LinksUpToDate>
  <CharactersWithSpaces>1928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2023-03-27T01:25:00Z</dcterms:created>
  <dc:creator>曹昌炜</dc:creator>
  <cp:lastModifiedBy>月见函灯</cp:lastModifiedBy>
  <cp:lastPrinted>2024-01-15T01:23:00Z</cp:lastPrinted>
  <dcterms:modified xsi:type="dcterms:W3CDTF">2026-10-28T02:38:28Z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5618F52090724EC197874F58E010A1B6_13</vt:lpwstr>
  </property>
  <property fmtid="{D5CDD505-2E9C-101B-9397-08002B2CF9AE}" pid="4" name="KSOTemplateDocerSaveRecord">
    <vt:lpwstr>eyJoZGlkIjoiMDkxNDM5NTI3YTI2MzU0NTA3MzliODM2N2FlYTc2NjYiLCJ1c2VySWQiOiI0MjM3NjMwNzUifQ==</vt:lpwstr>
  </property>
</Properties>
</file>